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id w:val="1151953679"/>
        <w:docPartObj>
          <w:docPartGallery w:val="Cover Pages"/>
          <w:docPartUnique/>
        </w:docPartObj>
      </w:sdtPr>
      <w:sdtEndPr>
        <w:rPr>
          <w:rFonts w:ascii="Verdana" w:hAnsi="Verdana" w:cstheme="minorHAnsi"/>
          <w:b/>
          <w:bCs/>
          <w:noProof/>
          <w:color w:val="2E74B5" w:themeColor="accent1" w:themeShade="BF"/>
          <w:sz w:val="32"/>
          <w:szCs w:val="32"/>
          <w:lang w:eastAsia="sk-SK"/>
        </w:rPr>
      </w:sdtEndPr>
      <w:sdtContent>
        <w:p w:rsidR="0088160A" w:rsidRDefault="00411584">
          <w:r>
            <w:rPr>
              <w:noProof/>
              <w:lang w:eastAsia="sk-SK"/>
            </w:rPr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column">
                  <wp:posOffset>-900430</wp:posOffset>
                </wp:positionH>
                <wp:positionV relativeFrom="paragraph">
                  <wp:posOffset>-900431</wp:posOffset>
                </wp:positionV>
                <wp:extent cx="10735200" cy="7596000"/>
                <wp:effectExtent l="0" t="0" r="9525" b="5080"/>
                <wp:wrapNone/>
                <wp:docPr id="1" name="Obrázo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odklad titulka-zelena.jp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5200" cy="75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8160A" w:rsidRDefault="002E2512">
          <w:pPr>
            <w:rPr>
              <w:rFonts w:ascii="Verdana" w:hAnsi="Verdana" w:cstheme="minorHAnsi"/>
              <w:b/>
              <w:bCs/>
              <w:noProof/>
              <w:color w:val="2E74B5" w:themeColor="accent1" w:themeShade="BF"/>
              <w:sz w:val="32"/>
              <w:szCs w:val="32"/>
              <w:lang w:eastAsia="sk-SK"/>
            </w:rPr>
          </w:pPr>
          <w:r w:rsidRPr="0076629D">
            <w:rPr>
              <w:rFonts w:ascii="Verdana" w:hAnsi="Verdana" w:cstheme="minorHAnsi"/>
              <w:b/>
              <w:bCs/>
              <w:noProof/>
              <w:color w:val="2E74B5" w:themeColor="accent1" w:themeShade="BF"/>
              <w:sz w:val="32"/>
              <w:szCs w:val="32"/>
              <w:lang w:eastAsia="sk-SK"/>
            </w:rPr>
            <mc:AlternateContent>
              <mc:Choice Requires="wps">
                <w:drawing>
                  <wp:anchor distT="45720" distB="45720" distL="114300" distR="114300" simplePos="0" relativeHeight="251656704" behindDoc="0" locked="0" layoutInCell="1" allowOverlap="1" wp14:anchorId="6A26861F" wp14:editId="62F43F88">
                    <wp:simplePos x="0" y="0"/>
                    <wp:positionH relativeFrom="column">
                      <wp:posOffset>1332230</wp:posOffset>
                    </wp:positionH>
                    <wp:positionV relativeFrom="paragraph">
                      <wp:posOffset>2357120</wp:posOffset>
                    </wp:positionV>
                    <wp:extent cx="6987540" cy="2795905"/>
                    <wp:effectExtent l="0" t="0" r="3810" b="61595"/>
                    <wp:wrapSquare wrapText="bothSides"/>
                    <wp:docPr id="21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87540" cy="27959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2E2512" w:rsidRPr="007E04A0" w:rsidRDefault="002E2512" w:rsidP="002E2512">
                                <w:pPr>
                                  <w:rPr>
                                    <w:rFonts w:ascii="Verdana" w:hAnsi="Verdana"/>
                                    <w:b/>
                                    <w:color w:val="FFFFFF" w:themeColor="background1"/>
                                    <w:sz w:val="52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FFFFFF" w:themeColor="background1"/>
                                    <w:sz w:val="52"/>
                                    <w:szCs w:val="44"/>
                                  </w:rPr>
                                  <w:t xml:space="preserve">Metodický </w:t>
                                </w:r>
                                <w:r w:rsidRPr="007E04A0">
                                  <w:rPr>
                                    <w:rFonts w:ascii="Verdana" w:hAnsi="Verdana"/>
                                    <w:b/>
                                    <w:color w:val="FFFFFF" w:themeColor="background1"/>
                                    <w:sz w:val="52"/>
                                    <w:szCs w:val="44"/>
                                  </w:rPr>
                                  <w:t>list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color w:val="FFFFFF" w:themeColor="background1"/>
                                    <w:sz w:val="52"/>
                                    <w:szCs w:val="44"/>
                                  </w:rPr>
                                  <w:t xml:space="preserve"> rozvoja finančnej kultúry pre </w:t>
                                </w:r>
                                <w:r w:rsidR="002D2A70">
                                  <w:rPr>
                                    <w:rStyle w:val="im"/>
                                    <w:rFonts w:ascii="Verdana" w:hAnsi="Verdana"/>
                                    <w:b/>
                                    <w:bCs/>
                                    <w:color w:val="FFFFFF" w:themeColor="background1"/>
                                    <w:sz w:val="52"/>
                                    <w:szCs w:val="52"/>
                                  </w:rPr>
                                  <w:t>úroveň A2</w:t>
                                </w:r>
                                <w:r w:rsidRPr="007E04A0">
                                  <w:rPr>
                                    <w:rFonts w:ascii="Verdana" w:hAnsi="Verdana"/>
                                    <w:b/>
                                    <w:color w:val="FFFFFF" w:themeColor="background1"/>
                                    <w:sz w:val="52"/>
                                    <w:szCs w:val="44"/>
                                  </w:rPr>
                                  <w:br/>
                                </w:r>
                                <w:r w:rsidR="0059104C" w:rsidRPr="0059104C">
                                  <w:rPr>
                                    <w:rFonts w:ascii="Verdana" w:hAnsi="Verdana"/>
                                    <w:b/>
                                    <w:color w:val="FFFFFF" w:themeColor="background1"/>
                                    <w:sz w:val="52"/>
                                    <w:szCs w:val="44"/>
                                  </w:rPr>
                                  <w:t>Matematika a práca s informáciami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A2686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104.9pt;margin-top:185.6pt;width:550.2pt;height:220.1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" filled="f" stroked="f">
                    <v:shadow on="t" color="black" opacity="26214f" origin="-.5,-.5" offset=".74836mm,.74836mm"/>
                    <v:textbox>
                      <w:txbxContent>
                        <w:p w:rsidR="002E2512" w:rsidRPr="007E04A0" w:rsidRDefault="002E2512" w:rsidP="002E2512">
                          <w:pPr>
                            <w:rPr>
                              <w:rFonts w:ascii="Verdana" w:hAnsi="Verdana"/>
                              <w:b/>
                              <w:color w:val="FFFFFF" w:themeColor="background1"/>
                              <w:sz w:val="52"/>
                              <w:szCs w:val="44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FFFFFF" w:themeColor="background1"/>
                              <w:sz w:val="52"/>
                              <w:szCs w:val="44"/>
                            </w:rPr>
                            <w:t xml:space="preserve">Metodický </w:t>
                          </w:r>
                          <w:r w:rsidRPr="007E04A0">
                            <w:rPr>
                              <w:rFonts w:ascii="Verdana" w:hAnsi="Verdana"/>
                              <w:b/>
                              <w:color w:val="FFFFFF" w:themeColor="background1"/>
                              <w:sz w:val="52"/>
                              <w:szCs w:val="44"/>
                            </w:rPr>
                            <w:t>list</w:t>
                          </w:r>
                          <w:r>
                            <w:rPr>
                              <w:rFonts w:ascii="Verdana" w:hAnsi="Verdana"/>
                              <w:b/>
                              <w:color w:val="FFFFFF" w:themeColor="background1"/>
                              <w:sz w:val="52"/>
                              <w:szCs w:val="44"/>
                            </w:rPr>
                            <w:t xml:space="preserve"> rozvoja finančnej kultúry pre </w:t>
                          </w:r>
                          <w:r w:rsidR="002D2A70">
                            <w:rPr>
                              <w:rStyle w:val="im"/>
                              <w:rFonts w:ascii="Verdana" w:hAnsi="Verdana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</w:rPr>
                            <w:t>úroveň A2</w:t>
                          </w:r>
                          <w:r w:rsidRPr="007E04A0">
                            <w:rPr>
                              <w:rFonts w:ascii="Verdana" w:hAnsi="Verdana"/>
                              <w:b/>
                              <w:color w:val="FFFFFF" w:themeColor="background1"/>
                              <w:sz w:val="52"/>
                              <w:szCs w:val="44"/>
                            </w:rPr>
                            <w:br/>
                          </w:r>
                          <w:r w:rsidR="0059104C" w:rsidRPr="0059104C">
                            <w:rPr>
                              <w:rFonts w:ascii="Verdana" w:hAnsi="Verdana"/>
                              <w:b/>
                              <w:color w:val="FFFFFF" w:themeColor="background1"/>
                              <w:sz w:val="52"/>
                              <w:szCs w:val="44"/>
                            </w:rPr>
                            <w:t>Matematika a práca s informáciami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88160A">
            <w:rPr>
              <w:rFonts w:ascii="Verdana" w:hAnsi="Verdana" w:cstheme="minorHAnsi"/>
              <w:b/>
              <w:bCs/>
              <w:noProof/>
              <w:color w:val="2E74B5" w:themeColor="accent1" w:themeShade="BF"/>
              <w:sz w:val="32"/>
              <w:szCs w:val="32"/>
              <w:lang w:eastAsia="sk-SK"/>
            </w:rPr>
            <w:br w:type="page"/>
          </w:r>
        </w:p>
      </w:sdtContent>
    </w:sdt>
    <w:p w:rsidR="00E36637" w:rsidRDefault="00E36637" w:rsidP="00963851">
      <w:pPr>
        <w:spacing w:line="192" w:lineRule="auto"/>
        <w:rPr>
          <w:rFonts w:ascii="Verdana" w:hAnsi="Verdana" w:cstheme="minorHAnsi"/>
          <w:b/>
          <w:bCs/>
          <w:color w:val="2E74B5" w:themeColor="accent1" w:themeShade="BF"/>
          <w:sz w:val="32"/>
          <w:szCs w:val="32"/>
        </w:rPr>
      </w:pPr>
    </w:p>
    <w:p w:rsidR="004D0302" w:rsidRDefault="00A935F8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  <w:r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 xml:space="preserve">Komponenty metodického listu pre </w:t>
      </w:r>
      <w:r w:rsidR="00EB1644"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>učiteľky a učiteľov</w:t>
      </w:r>
    </w:p>
    <w:p w:rsidR="007723EB" w:rsidRPr="00855448" w:rsidRDefault="007723EB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</w:p>
    <w:tbl>
      <w:tblPr>
        <w:tblStyle w:val="Mriekatabuky"/>
        <w:tblpPr w:leftFromText="141" w:rightFromText="141" w:vertAnchor="text" w:tblpY="1"/>
        <w:tblOverlap w:val="never"/>
        <w:tblW w:w="5000" w:type="pct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459"/>
        <w:gridCol w:w="3450"/>
        <w:gridCol w:w="5319"/>
      </w:tblGrid>
      <w:tr w:rsidR="005B14BD" w:rsidRPr="00E36637" w:rsidTr="007269CE">
        <w:tc>
          <w:tcPr>
            <w:tcW w:w="1918" w:type="pct"/>
            <w:shd w:val="clear" w:color="auto" w:fill="E2EFD9" w:themeFill="accent6" w:themeFillTint="33"/>
            <w:vAlign w:val="center"/>
          </w:tcPr>
          <w:p w:rsidR="005B14BD" w:rsidRPr="00612ABE" w:rsidRDefault="00A935F8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Aktivity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učiteľky/učiteľa</w:t>
            </w:r>
          </w:p>
        </w:tc>
        <w:tc>
          <w:tcPr>
            <w:tcW w:w="1212" w:type="pct"/>
            <w:shd w:val="clear" w:color="auto" w:fill="E2EFD9" w:themeFill="accent6" w:themeFillTint="33"/>
            <w:vAlign w:val="center"/>
          </w:tcPr>
          <w:p w:rsidR="002322A9" w:rsidRPr="00612ABE" w:rsidRDefault="002322A9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Pedagogická činnosť</w:t>
            </w:r>
          </w:p>
          <w:p w:rsidR="005B14BD" w:rsidRPr="00612ABE" w:rsidRDefault="002322A9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v rámci fáz rozvíjania kompetencie</w:t>
            </w:r>
          </w:p>
        </w:tc>
        <w:tc>
          <w:tcPr>
            <w:tcW w:w="1869" w:type="pct"/>
            <w:shd w:val="clear" w:color="auto" w:fill="E2EFD9" w:themeFill="accent6" w:themeFillTint="33"/>
            <w:vAlign w:val="center"/>
          </w:tcPr>
          <w:p w:rsidR="00EB1644" w:rsidRPr="00612ABE" w:rsidRDefault="00EB1644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</w:p>
          <w:p w:rsidR="00EB1644" w:rsidRPr="00612ABE" w:rsidRDefault="00EB1644" w:rsidP="00D02968">
            <w:pPr>
              <w:jc w:val="center"/>
              <w:rPr>
                <w:rFonts w:cstheme="minorHAnsi"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Aktivity žiačky/žiaka</w:t>
            </w:r>
          </w:p>
          <w:p w:rsidR="005B14BD" w:rsidRPr="00612ABE" w:rsidRDefault="005B14BD" w:rsidP="00D02968">
            <w:pPr>
              <w:rPr>
                <w:rFonts w:cstheme="minorHAnsi"/>
                <w:b/>
                <w:bCs/>
                <w:color w:val="1F4E79" w:themeColor="accent1" w:themeShade="80"/>
              </w:rPr>
            </w:pPr>
          </w:p>
        </w:tc>
      </w:tr>
      <w:tr w:rsidR="005B14BD" w:rsidRPr="00E36637" w:rsidTr="007269CE">
        <w:tc>
          <w:tcPr>
            <w:tcW w:w="1918" w:type="pct"/>
            <w:shd w:val="clear" w:color="auto" w:fill="FFFFFF" w:themeFill="background1"/>
            <w:vAlign w:val="center"/>
          </w:tcPr>
          <w:p w:rsidR="005B14BD" w:rsidRPr="00B73A5A" w:rsidRDefault="00A935F8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Vytvorenie situácie/aktivity, ktorá umožní </w:t>
            </w:r>
            <w:r w:rsidR="00EB1644" w:rsidRPr="00B73A5A">
              <w:rPr>
                <w:rFonts w:cstheme="minorHAnsi"/>
                <w:color w:val="000000"/>
              </w:rPr>
              <w:t>žiačke/</w:t>
            </w:r>
            <w:r w:rsidRPr="00B73A5A">
              <w:rPr>
                <w:rFonts w:cstheme="minorHAnsi"/>
                <w:color w:val="000000"/>
              </w:rPr>
              <w:t>žiakovi postupne začať učebnú činnosť</w:t>
            </w:r>
            <w:r w:rsidR="00507185" w:rsidRPr="00B73A5A">
              <w:rPr>
                <w:rFonts w:cstheme="minorHAnsi"/>
                <w:color w:val="000000"/>
              </w:rPr>
              <w:t>.</w:t>
            </w:r>
          </w:p>
        </w:tc>
        <w:tc>
          <w:tcPr>
            <w:tcW w:w="1212" w:type="pct"/>
            <w:shd w:val="clear" w:color="auto" w:fill="C5E0B3" w:themeFill="accent6" w:themeFillTint="66"/>
            <w:vAlign w:val="center"/>
          </w:tcPr>
          <w:p w:rsidR="005B14BD" w:rsidRPr="00612ABE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Iniciačná fáza </w:t>
            </w:r>
            <w:r w:rsidR="00E36637" w:rsidRPr="00612ABE">
              <w:rPr>
                <w:rFonts w:cstheme="minorHAnsi"/>
                <w:b/>
                <w:bCs/>
                <w:color w:val="1F4E79" w:themeColor="accent1" w:themeShade="80"/>
              </w:rPr>
              <w:br/>
            </w: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oboznamovanie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 sa s aktivitou 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:rsidR="00507185" w:rsidRPr="00B73A5A" w:rsidRDefault="00A935F8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Oboznámenie sa s aktivitou</w:t>
            </w:r>
            <w:r w:rsidR="005B14BD" w:rsidRPr="00B73A5A">
              <w:rPr>
                <w:rFonts w:cstheme="minorHAnsi"/>
                <w:color w:val="000000"/>
              </w:rPr>
              <w:t>.</w:t>
            </w:r>
          </w:p>
          <w:p w:rsidR="005B14BD" w:rsidRPr="00B73A5A" w:rsidRDefault="00A935F8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Oboznámenie sa so sociokultúrnym kontextom v rámci triedy/skupiny.</w:t>
            </w:r>
          </w:p>
        </w:tc>
      </w:tr>
      <w:tr w:rsidR="005B14BD" w:rsidRPr="00E36637" w:rsidTr="007269CE">
        <w:tc>
          <w:tcPr>
            <w:tcW w:w="1918" w:type="pct"/>
            <w:shd w:val="clear" w:color="auto" w:fill="FFFFFF" w:themeFill="background1"/>
            <w:vAlign w:val="center"/>
          </w:tcPr>
          <w:p w:rsidR="00507185" w:rsidRPr="00B73A5A" w:rsidRDefault="00A935F8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Vytvorenie, resp. navodenie problémovej situácie</w:t>
            </w:r>
            <w:r w:rsidR="005B14BD" w:rsidRPr="00B73A5A">
              <w:rPr>
                <w:rFonts w:cstheme="minorHAnsi"/>
                <w:color w:val="000000"/>
              </w:rPr>
              <w:t>.</w:t>
            </w:r>
            <w:r w:rsidR="005B14BD" w:rsidRPr="00B73A5A">
              <w:rPr>
                <w:rFonts w:cstheme="minorHAnsi"/>
                <w:color w:val="000000"/>
              </w:rPr>
              <w:br/>
            </w:r>
            <w:r w:rsidRPr="00B73A5A">
              <w:rPr>
                <w:rFonts w:cstheme="minorHAnsi"/>
                <w:color w:val="000000"/>
              </w:rPr>
              <w:t xml:space="preserve">Pozorovanie reakcie a správania </w:t>
            </w:r>
            <w:r w:rsidR="00EB1644" w:rsidRPr="00B73A5A">
              <w:rPr>
                <w:rFonts w:cstheme="minorHAnsi"/>
                <w:color w:val="000000"/>
              </w:rPr>
              <w:t>žiačok/</w:t>
            </w:r>
            <w:r w:rsidRPr="00B73A5A">
              <w:rPr>
                <w:rFonts w:cstheme="minorHAnsi"/>
                <w:color w:val="000000"/>
              </w:rPr>
              <w:t>žiakov.</w:t>
            </w:r>
          </w:p>
          <w:p w:rsidR="004D0302" w:rsidRPr="00B73A5A" w:rsidRDefault="004452C9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Identifikovanie úrovne ich schopnosti adekvátne reagovať na situáciu. </w:t>
            </w:r>
          </w:p>
          <w:p w:rsidR="005B14BD" w:rsidRPr="00B73A5A" w:rsidRDefault="004452C9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Stanovenie cieľov, toho</w:t>
            </w:r>
            <w:r w:rsidR="00507185" w:rsidRPr="00B73A5A">
              <w:rPr>
                <w:rFonts w:cstheme="minorHAnsi"/>
                <w:color w:val="000000"/>
              </w:rPr>
              <w:t>,</w:t>
            </w:r>
            <w:r w:rsidRPr="00B73A5A">
              <w:rPr>
                <w:rFonts w:cstheme="minorHAnsi"/>
                <w:color w:val="000000"/>
              </w:rPr>
              <w:t xml:space="preserve"> čo sa má </w:t>
            </w:r>
            <w:r w:rsidR="00EB1644" w:rsidRPr="00B73A5A">
              <w:rPr>
                <w:rFonts w:cstheme="minorHAnsi"/>
                <w:color w:val="000000"/>
              </w:rPr>
              <w:t>žiačka/</w:t>
            </w:r>
            <w:r w:rsidRPr="00B73A5A">
              <w:rPr>
                <w:rFonts w:cstheme="minorHAnsi"/>
                <w:color w:val="000000"/>
              </w:rPr>
              <w:t>žiak naučiť/to</w:t>
            </w:r>
            <w:r w:rsidR="00507185" w:rsidRPr="00B73A5A">
              <w:rPr>
                <w:rFonts w:cstheme="minorHAnsi"/>
                <w:color w:val="000000"/>
              </w:rPr>
              <w:t>,</w:t>
            </w:r>
            <w:r w:rsidRPr="00B73A5A">
              <w:rPr>
                <w:rFonts w:cstheme="minorHAnsi"/>
                <w:color w:val="000000"/>
              </w:rPr>
              <w:t xml:space="preserve"> čo má rozvíjať.</w:t>
            </w:r>
          </w:p>
        </w:tc>
        <w:tc>
          <w:tcPr>
            <w:tcW w:w="1212" w:type="pct"/>
            <w:shd w:val="clear" w:color="auto" w:fill="C5E0B3" w:themeFill="accent6" w:themeFillTint="66"/>
            <w:vAlign w:val="center"/>
          </w:tcPr>
          <w:p w:rsidR="007723EB" w:rsidRPr="007723EB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  <w:sz w:val="28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Vstupná fáza </w:t>
            </w:r>
          </w:p>
          <w:p w:rsidR="005B14BD" w:rsidRPr="00612ABE" w:rsidRDefault="004A01F0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v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zorová situácia/vstupná diagnostika úrovne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žiačok/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>žiakov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:rsidR="004D0302" w:rsidRPr="00B73A5A" w:rsidRDefault="004452C9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Pochopenie problému/problémovej situácie</w:t>
            </w:r>
            <w:r w:rsidR="00BD0F9D" w:rsidRPr="00B73A5A">
              <w:rPr>
                <w:rFonts w:cstheme="minorHAnsi"/>
                <w:color w:val="000000"/>
              </w:rPr>
              <w:t>.</w:t>
            </w:r>
          </w:p>
          <w:p w:rsidR="004D0302" w:rsidRPr="00B73A5A" w:rsidRDefault="00BD0F9D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U</w:t>
            </w:r>
            <w:r w:rsidR="004452C9" w:rsidRPr="00B73A5A">
              <w:rPr>
                <w:rFonts w:cstheme="minorHAnsi"/>
                <w:color w:val="000000"/>
              </w:rPr>
              <w:t>vedomenie si cieľa aktivity.</w:t>
            </w:r>
          </w:p>
          <w:p w:rsidR="00BD0F9D" w:rsidRPr="00B73A5A" w:rsidRDefault="00BD0F9D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bCs/>
                <w:color w:val="000000"/>
              </w:rPr>
            </w:pPr>
            <w:r w:rsidRPr="00B73A5A">
              <w:rPr>
                <w:rFonts w:cstheme="minorHAnsi"/>
                <w:bCs/>
                <w:color w:val="000000"/>
              </w:rPr>
              <w:t>Vstupné hodnotenie.</w:t>
            </w:r>
          </w:p>
        </w:tc>
      </w:tr>
      <w:tr w:rsidR="005B14BD" w:rsidRPr="00E36637" w:rsidTr="007269CE">
        <w:tc>
          <w:tcPr>
            <w:tcW w:w="1918" w:type="pct"/>
            <w:shd w:val="clear" w:color="auto" w:fill="FFFFFF" w:themeFill="background1"/>
            <w:vAlign w:val="center"/>
          </w:tcPr>
          <w:p w:rsidR="005B14BD" w:rsidRPr="00B73A5A" w:rsidRDefault="00BD0F9D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Návrh problémových situácií/otázok/príkladov a pod., ktoré podporia riešenie vstupného problému</w:t>
            </w:r>
            <w:r w:rsidR="005B14BD" w:rsidRPr="00B73A5A">
              <w:rPr>
                <w:rFonts w:cstheme="minorHAnsi"/>
                <w:color w:val="000000"/>
              </w:rPr>
              <w:t>.</w:t>
            </w:r>
          </w:p>
        </w:tc>
        <w:tc>
          <w:tcPr>
            <w:tcW w:w="1212" w:type="pct"/>
            <w:shd w:val="clear" w:color="auto" w:fill="C5E0B3" w:themeFill="accent6" w:themeFillTint="66"/>
            <w:vAlign w:val="center"/>
          </w:tcPr>
          <w:p w:rsidR="007723EB" w:rsidRPr="007723EB" w:rsidRDefault="00BD0F9D" w:rsidP="007723EB">
            <w:pPr>
              <w:jc w:val="center"/>
              <w:rPr>
                <w:rFonts w:cstheme="minorHAnsi"/>
                <w:b/>
                <w:bCs/>
                <w:color w:val="1F4E79" w:themeColor="accent1" w:themeShade="80"/>
                <w:sz w:val="28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>F</w:t>
            </w:r>
            <w:r w:rsidR="00D248E3"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áza učenia sa </w:t>
            </w:r>
          </w:p>
          <w:p w:rsidR="005B14BD" w:rsidRPr="00612ABE" w:rsidRDefault="00D248E3" w:rsidP="007723EB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cielený rozvoj kompetencií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žiačok/žiakov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:rsidR="00507185" w:rsidRPr="00B73A5A" w:rsidRDefault="002613A3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Hľadanie správnej cesty/postupov</w:t>
            </w:r>
            <w:r w:rsidR="00507185" w:rsidRPr="00B73A5A">
              <w:rPr>
                <w:rFonts w:cstheme="minorHAnsi"/>
                <w:color w:val="000000"/>
              </w:rPr>
              <w:t xml:space="preserve"> k riešeniu vstupného problému.</w:t>
            </w:r>
          </w:p>
          <w:p w:rsidR="005B14BD" w:rsidRPr="00B73A5A" w:rsidRDefault="002613A3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Formulovanie jednotlivých postupov, ktoré budú viesť k riešeniu celkového, resp. čiastkových problémov v rámci vstupného problému.</w:t>
            </w:r>
            <w:r w:rsidR="005B14BD" w:rsidRPr="00B73A5A">
              <w:rPr>
                <w:rFonts w:cstheme="minorHAnsi"/>
                <w:color w:val="000000"/>
              </w:rPr>
              <w:br/>
            </w:r>
            <w:r w:rsidRPr="00B73A5A">
              <w:rPr>
                <w:rFonts w:cstheme="minorHAnsi"/>
                <w:color w:val="000000"/>
              </w:rPr>
              <w:t>Identifikovanie faktorov ús</w:t>
            </w:r>
            <w:r w:rsidR="00D248E3" w:rsidRPr="00B73A5A">
              <w:rPr>
                <w:rFonts w:cstheme="minorHAnsi"/>
                <w:color w:val="000000"/>
              </w:rPr>
              <w:t>pešného riešenia.</w:t>
            </w:r>
          </w:p>
        </w:tc>
      </w:tr>
      <w:tr w:rsidR="005B14BD" w:rsidRPr="00E36637" w:rsidTr="007269CE">
        <w:tc>
          <w:tcPr>
            <w:tcW w:w="1918" w:type="pct"/>
            <w:shd w:val="clear" w:color="auto" w:fill="FFFFFF" w:themeFill="background1"/>
            <w:vAlign w:val="center"/>
          </w:tcPr>
          <w:p w:rsidR="004D0302" w:rsidRPr="00B73A5A" w:rsidRDefault="00D248E3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Aktivity umožňujúce </w:t>
            </w:r>
            <w:r w:rsidR="004D0302" w:rsidRPr="00B73A5A">
              <w:rPr>
                <w:rFonts w:cstheme="minorHAnsi"/>
                <w:color w:val="000000"/>
              </w:rPr>
              <w:t>pozitívne konštatovan</w:t>
            </w:r>
            <w:r w:rsidR="00507185" w:rsidRPr="00B73A5A">
              <w:rPr>
                <w:rFonts w:cstheme="minorHAnsi"/>
                <w:color w:val="000000"/>
              </w:rPr>
              <w:t>ie dosiahnutia vstupného cieľa.</w:t>
            </w:r>
          </w:p>
          <w:p w:rsidR="005B14BD" w:rsidRPr="00B73A5A" w:rsidRDefault="004D0302" w:rsidP="007269CE">
            <w:pPr>
              <w:pStyle w:val="Odsekzoznamu"/>
              <w:numPr>
                <w:ilvl w:val="0"/>
                <w:numId w:val="11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Aktivity umožňujúce uvedomenie si stupňa rozvoja kompetencií </w:t>
            </w:r>
            <w:r w:rsidR="00EB1644" w:rsidRPr="00B73A5A">
              <w:rPr>
                <w:rFonts w:cstheme="minorHAnsi"/>
                <w:color w:val="000000"/>
              </w:rPr>
              <w:t>žiačok/</w:t>
            </w:r>
            <w:r w:rsidRPr="00B73A5A">
              <w:rPr>
                <w:rFonts w:cstheme="minorHAnsi"/>
                <w:color w:val="000000"/>
              </w:rPr>
              <w:t xml:space="preserve">žiakov. </w:t>
            </w:r>
          </w:p>
        </w:tc>
        <w:tc>
          <w:tcPr>
            <w:tcW w:w="1212" w:type="pct"/>
            <w:shd w:val="clear" w:color="auto" w:fill="C5E0B3" w:themeFill="accent6" w:themeFillTint="66"/>
            <w:vAlign w:val="center"/>
          </w:tcPr>
          <w:p w:rsidR="00507185" w:rsidRPr="00612ABE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Fáza utvrdzovania </w:t>
            </w:r>
            <w:r w:rsidR="00E36637" w:rsidRPr="00612ABE">
              <w:rPr>
                <w:rFonts w:cstheme="minorHAnsi"/>
                <w:b/>
                <w:bCs/>
                <w:color w:val="1F4E79" w:themeColor="accent1" w:themeShade="80"/>
              </w:rPr>
              <w:br/>
            </w: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referenčné situácie utvrdzovania/</w:t>
            </w:r>
          </w:p>
          <w:p w:rsidR="005B14BD" w:rsidRPr="00612ABE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záverečné hodnotenie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:rsidR="005B14BD" w:rsidRPr="00B73A5A" w:rsidRDefault="004D0302" w:rsidP="007269CE">
            <w:pPr>
              <w:pStyle w:val="Odsekzoznamu"/>
              <w:numPr>
                <w:ilvl w:val="0"/>
                <w:numId w:val="12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Konštatovanie a hodnotenie pokroku </w:t>
            </w:r>
            <w:r w:rsidR="00EB1644" w:rsidRPr="00B73A5A">
              <w:rPr>
                <w:rFonts w:cstheme="minorHAnsi"/>
                <w:color w:val="000000"/>
              </w:rPr>
              <w:t>žiačkami/</w:t>
            </w:r>
            <w:r w:rsidRPr="00B73A5A">
              <w:rPr>
                <w:rFonts w:cstheme="minorHAnsi"/>
                <w:color w:val="000000"/>
              </w:rPr>
              <w:t>žiakmi.</w:t>
            </w:r>
          </w:p>
        </w:tc>
      </w:tr>
    </w:tbl>
    <w:p w:rsidR="007F1B9C" w:rsidRPr="00E36637" w:rsidRDefault="007F1B9C" w:rsidP="00963851">
      <w:pPr>
        <w:spacing w:line="192" w:lineRule="auto"/>
        <w:rPr>
          <w:rFonts w:ascii="Verdana" w:hAnsi="Verdana" w:cstheme="minorHAnsi"/>
          <w:b/>
          <w:bCs/>
          <w:color w:val="000000"/>
          <w:sz w:val="28"/>
          <w:szCs w:val="28"/>
        </w:rPr>
      </w:pPr>
    </w:p>
    <w:p w:rsidR="00C950A3" w:rsidRDefault="00C950A3" w:rsidP="00963851">
      <w:pPr>
        <w:spacing w:line="192" w:lineRule="auto"/>
        <w:rPr>
          <w:rFonts w:ascii="Verdana" w:hAnsi="Verdana" w:cstheme="minorHAnsi"/>
          <w:b/>
          <w:bCs/>
          <w:color w:val="2E74B5" w:themeColor="accent1" w:themeShade="BF"/>
          <w:sz w:val="32"/>
          <w:szCs w:val="32"/>
        </w:rPr>
      </w:pPr>
    </w:p>
    <w:p w:rsidR="005249C4" w:rsidRDefault="004D0302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  <w:r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>Metodický list</w:t>
      </w:r>
      <w:r w:rsidR="004438AB"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 xml:space="preserve"> rozvoja finančnej kultúry</w:t>
      </w:r>
    </w:p>
    <w:p w:rsidR="007723EB" w:rsidRPr="00855448" w:rsidRDefault="007723EB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</w:p>
    <w:tbl>
      <w:tblPr>
        <w:tblStyle w:val="Mriekatabuky"/>
        <w:tblW w:w="5000" w:type="pct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800"/>
        <w:gridCol w:w="5857"/>
        <w:gridCol w:w="2303"/>
        <w:gridCol w:w="2382"/>
      </w:tblGrid>
      <w:tr w:rsidR="00DA031A" w:rsidRPr="00E36637" w:rsidTr="00B87E48">
        <w:tc>
          <w:tcPr>
            <w:tcW w:w="1325" w:type="pct"/>
            <w:shd w:val="clear" w:color="auto" w:fill="E2EFD9" w:themeFill="accent6" w:themeFillTint="33"/>
            <w:vAlign w:val="center"/>
          </w:tcPr>
          <w:p w:rsidR="00DA031A" w:rsidRPr="00B73A5A" w:rsidRDefault="00DA031A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Názov metodického listu</w:t>
            </w:r>
          </w:p>
        </w:tc>
        <w:tc>
          <w:tcPr>
            <w:tcW w:w="2042" w:type="pct"/>
            <w:shd w:val="clear" w:color="auto" w:fill="E2EFD9" w:themeFill="accent6" w:themeFillTint="33"/>
            <w:vAlign w:val="center"/>
          </w:tcPr>
          <w:p w:rsidR="00DA031A" w:rsidRPr="00B73A5A" w:rsidRDefault="00EA21EC" w:rsidP="00963851">
            <w:pPr>
              <w:spacing w:line="192" w:lineRule="auto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EA21EC">
              <w:rPr>
                <w:rFonts w:ascii="Verdana" w:hAnsi="Verdana" w:cstheme="minorHAnsi"/>
                <w:b/>
                <w:sz w:val="20"/>
                <w:szCs w:val="20"/>
              </w:rPr>
              <w:t>S istotou proti riziku</w:t>
            </w:r>
          </w:p>
        </w:tc>
        <w:tc>
          <w:tcPr>
            <w:tcW w:w="803" w:type="pct"/>
            <w:shd w:val="clear" w:color="auto" w:fill="E2EFD9" w:themeFill="accent6" w:themeFillTint="33"/>
            <w:vAlign w:val="center"/>
          </w:tcPr>
          <w:p w:rsidR="00DA031A" w:rsidRPr="00B73A5A" w:rsidRDefault="00DA031A" w:rsidP="00612ABE">
            <w:pPr>
              <w:rPr>
                <w:rFonts w:ascii="Verdana" w:hAnsi="Verdana" w:cstheme="minorHAnsi"/>
                <w:b/>
                <w:color w:val="000000"/>
                <w:sz w:val="20"/>
                <w:szCs w:val="20"/>
              </w:rPr>
            </w:pPr>
            <w:r w:rsidRPr="00612ABE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Číslo metodického listu</w:t>
            </w:r>
          </w:p>
        </w:tc>
        <w:tc>
          <w:tcPr>
            <w:tcW w:w="830" w:type="pct"/>
            <w:shd w:val="clear" w:color="auto" w:fill="E2EFD9" w:themeFill="accent6" w:themeFillTint="33"/>
            <w:vAlign w:val="center"/>
          </w:tcPr>
          <w:p w:rsidR="00DA031A" w:rsidRPr="008939BB" w:rsidRDefault="00EA21EC" w:rsidP="00963851">
            <w:pPr>
              <w:spacing w:line="192" w:lineRule="auto"/>
              <w:rPr>
                <w:rFonts w:ascii="Verdana" w:hAnsi="Verdana" w:cstheme="minorHAnsi"/>
                <w:b/>
                <w:color w:val="000000"/>
                <w:sz w:val="20"/>
                <w:szCs w:val="20"/>
              </w:rPr>
            </w:pPr>
            <w:r w:rsidRPr="00EA21EC">
              <w:rPr>
                <w:rFonts w:ascii="Verdana" w:hAnsi="Verdana" w:cstheme="minorHAnsi"/>
                <w:b/>
                <w:sz w:val="20"/>
                <w:szCs w:val="20"/>
              </w:rPr>
              <w:t>A2/2S/34/MI/OA</w:t>
            </w:r>
          </w:p>
        </w:tc>
      </w:tr>
      <w:tr w:rsidR="00B87E48" w:rsidRPr="00E36637" w:rsidTr="00B87E48">
        <w:tc>
          <w:tcPr>
            <w:tcW w:w="1325" w:type="pct"/>
            <w:shd w:val="clear" w:color="auto" w:fill="E2EFD9" w:themeFill="accent6" w:themeFillTint="33"/>
            <w:vAlign w:val="center"/>
          </w:tcPr>
          <w:p w:rsidR="00B87E48" w:rsidRPr="00B73A5A" w:rsidRDefault="00B87E4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Vzdelávacia oblasť</w:t>
            </w:r>
          </w:p>
        </w:tc>
        <w:tc>
          <w:tcPr>
            <w:tcW w:w="3675" w:type="pct"/>
            <w:gridSpan w:val="3"/>
            <w:vAlign w:val="center"/>
          </w:tcPr>
          <w:p w:rsidR="00B87E48" w:rsidRPr="00B87E48" w:rsidRDefault="00B87E48" w:rsidP="00A16B15">
            <w:pPr>
              <w:jc w:val="both"/>
              <w:rPr>
                <w:rFonts w:ascii="Verdana" w:hAnsi="Verdana"/>
              </w:rPr>
            </w:pPr>
            <w:r w:rsidRPr="00B87E48">
              <w:rPr>
                <w:rFonts w:ascii="Verdana" w:hAnsi="Verdana"/>
              </w:rPr>
              <w:t>Matematika a práca s informáciami</w:t>
            </w:r>
          </w:p>
        </w:tc>
      </w:tr>
      <w:tr w:rsidR="00B87E48" w:rsidRPr="00E36637" w:rsidTr="00B87E48">
        <w:tc>
          <w:tcPr>
            <w:tcW w:w="1325" w:type="pct"/>
            <w:shd w:val="clear" w:color="auto" w:fill="E2EFD9" w:themeFill="accent6" w:themeFillTint="33"/>
            <w:vAlign w:val="center"/>
          </w:tcPr>
          <w:p w:rsidR="00B87E48" w:rsidRPr="00B73A5A" w:rsidRDefault="00B87E4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Kognitívna úroveň</w:t>
            </w:r>
          </w:p>
        </w:tc>
        <w:tc>
          <w:tcPr>
            <w:tcW w:w="3675" w:type="pct"/>
            <w:gridSpan w:val="3"/>
            <w:vAlign w:val="center"/>
          </w:tcPr>
          <w:p w:rsidR="00B87E48" w:rsidRPr="00B87E48" w:rsidRDefault="00B87E48" w:rsidP="00A16B15">
            <w:pPr>
              <w:jc w:val="both"/>
              <w:rPr>
                <w:rFonts w:ascii="Verdana" w:hAnsi="Verdana"/>
              </w:rPr>
            </w:pPr>
            <w:r w:rsidRPr="00B87E48">
              <w:rPr>
                <w:rFonts w:ascii="Verdana" w:hAnsi="Verdana"/>
              </w:rPr>
              <w:t>A2</w:t>
            </w:r>
          </w:p>
        </w:tc>
      </w:tr>
      <w:tr w:rsidR="00B87E48" w:rsidRPr="00E36637" w:rsidTr="00B87E48">
        <w:tc>
          <w:tcPr>
            <w:tcW w:w="1325" w:type="pct"/>
            <w:shd w:val="clear" w:color="auto" w:fill="E2EFD9" w:themeFill="accent6" w:themeFillTint="33"/>
            <w:vAlign w:val="center"/>
          </w:tcPr>
          <w:p w:rsidR="00B87E48" w:rsidRPr="00B73A5A" w:rsidRDefault="00B87E48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Kompetencia rozvoja myslenia</w:t>
            </w:r>
          </w:p>
        </w:tc>
        <w:tc>
          <w:tcPr>
            <w:tcW w:w="3675" w:type="pct"/>
            <w:gridSpan w:val="3"/>
            <w:vAlign w:val="center"/>
          </w:tcPr>
          <w:p w:rsidR="00B87E48" w:rsidRPr="00B87E48" w:rsidRDefault="00B87E48" w:rsidP="00A16B15">
            <w:pPr>
              <w:jc w:val="both"/>
              <w:rPr>
                <w:rFonts w:ascii="Verdana" w:hAnsi="Verdana"/>
              </w:rPr>
            </w:pPr>
            <w:r w:rsidRPr="00B87E48">
              <w:rPr>
                <w:rFonts w:ascii="Verdana" w:hAnsi="Verdana"/>
                <w:color w:val="000000"/>
              </w:rPr>
              <w:t>Overovanie argumentácie</w:t>
            </w:r>
          </w:p>
        </w:tc>
      </w:tr>
      <w:tr w:rsidR="00EA21EC" w:rsidRPr="00E36637" w:rsidTr="00B87E48">
        <w:tc>
          <w:tcPr>
            <w:tcW w:w="1325" w:type="pct"/>
            <w:shd w:val="clear" w:color="auto" w:fill="E2EFD9" w:themeFill="accent6" w:themeFillTint="33"/>
            <w:vAlign w:val="center"/>
          </w:tcPr>
          <w:p w:rsidR="00EA21EC" w:rsidRPr="00B73A5A" w:rsidRDefault="00EA21EC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Opis kompetencie rozvoja myslenia</w:t>
            </w:r>
          </w:p>
        </w:tc>
        <w:tc>
          <w:tcPr>
            <w:tcW w:w="3675" w:type="pct"/>
            <w:gridSpan w:val="3"/>
            <w:vAlign w:val="center"/>
          </w:tcPr>
          <w:p w:rsidR="00EA21EC" w:rsidRPr="00EA21EC" w:rsidRDefault="00EA21EC" w:rsidP="00873A12">
            <w:pPr>
              <w:jc w:val="both"/>
              <w:rPr>
                <w:rFonts w:ascii="Verdana" w:hAnsi="Verdana"/>
              </w:rPr>
            </w:pPr>
            <w:r w:rsidRPr="00EA21EC">
              <w:rPr>
                <w:rFonts w:ascii="Verdana" w:hAnsi="Verdana"/>
              </w:rPr>
              <w:t>Dokáže sformulovať elementárny výrok (v zmysle matematickej logiky).</w:t>
            </w:r>
          </w:p>
        </w:tc>
      </w:tr>
      <w:tr w:rsidR="00EA21EC" w:rsidRPr="00E36637" w:rsidTr="00B87E48">
        <w:tc>
          <w:tcPr>
            <w:tcW w:w="1325" w:type="pct"/>
            <w:shd w:val="clear" w:color="auto" w:fill="E2EFD9" w:themeFill="accent6" w:themeFillTint="33"/>
            <w:vAlign w:val="center"/>
          </w:tcPr>
          <w:p w:rsidR="00EA21EC" w:rsidRPr="00B73A5A" w:rsidRDefault="00EA21EC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Kompetencie finančnej gramotnosti (podľa OECD)</w:t>
            </w:r>
          </w:p>
        </w:tc>
        <w:tc>
          <w:tcPr>
            <w:tcW w:w="3675" w:type="pct"/>
            <w:gridSpan w:val="3"/>
            <w:vAlign w:val="center"/>
          </w:tcPr>
          <w:p w:rsidR="00EA21EC" w:rsidRPr="00EA21EC" w:rsidRDefault="00EA21EC" w:rsidP="00873A12">
            <w:pPr>
              <w:jc w:val="both"/>
              <w:rPr>
                <w:rFonts w:ascii="Verdana" w:hAnsi="Verdana"/>
              </w:rPr>
            </w:pPr>
            <w:r w:rsidRPr="00EA21EC">
              <w:rPr>
                <w:rFonts w:ascii="Verdana" w:hAnsi="Verdana"/>
              </w:rPr>
              <w:t>Všeobecne rozumie dôvodom, prečo ľudia kupujú poistné produkty.</w:t>
            </w:r>
          </w:p>
          <w:p w:rsidR="00EA21EC" w:rsidRPr="00EA21EC" w:rsidRDefault="0059104C" w:rsidP="0059104C">
            <w:pPr>
              <w:jc w:val="both"/>
              <w:rPr>
                <w:rFonts w:ascii="Verdana" w:hAnsi="Verdana"/>
              </w:rPr>
            </w:pPr>
            <w:r w:rsidRPr="0059104C">
              <w:rPr>
                <w:rFonts w:ascii="Verdana" w:hAnsi="Verdana"/>
              </w:rPr>
              <w:t>Má základné povedomie o tom, ako mu sporiace produkty a poistenie môžu pomôcť pri zvažovaní spôsobov riadenia rizika.</w:t>
            </w:r>
          </w:p>
        </w:tc>
      </w:tr>
      <w:tr w:rsidR="00EA21EC" w:rsidRPr="00E36637" w:rsidTr="00B87E48">
        <w:tc>
          <w:tcPr>
            <w:tcW w:w="1325" w:type="pct"/>
            <w:shd w:val="clear" w:color="auto" w:fill="E2EFD9" w:themeFill="accent6" w:themeFillTint="33"/>
            <w:vAlign w:val="center"/>
          </w:tcPr>
          <w:p w:rsidR="00EA21EC" w:rsidRPr="00B73A5A" w:rsidRDefault="00EA21EC" w:rsidP="00612ABE">
            <w:pPr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20"/>
                <w:szCs w:val="20"/>
              </w:rPr>
              <w:t>Témy Národného štandardu finančnej gramotnosti</w:t>
            </w:r>
          </w:p>
        </w:tc>
        <w:tc>
          <w:tcPr>
            <w:tcW w:w="3675" w:type="pct"/>
            <w:gridSpan w:val="3"/>
            <w:vAlign w:val="center"/>
          </w:tcPr>
          <w:p w:rsidR="00EA21EC" w:rsidRPr="00EA21EC" w:rsidRDefault="00EA21EC" w:rsidP="00873A12">
            <w:pPr>
              <w:jc w:val="both"/>
              <w:rPr>
                <w:rFonts w:ascii="Verdana" w:hAnsi="Verdana"/>
                <w:color w:val="000000"/>
              </w:rPr>
            </w:pPr>
            <w:r w:rsidRPr="00EA21EC">
              <w:rPr>
                <w:rFonts w:ascii="Verdana" w:hAnsi="Verdana"/>
                <w:color w:val="000000"/>
              </w:rPr>
              <w:t>Riadenie rizika a poistenie</w:t>
            </w:r>
          </w:p>
        </w:tc>
      </w:tr>
    </w:tbl>
    <w:p w:rsidR="00AE4DC5" w:rsidRPr="00E36637" w:rsidRDefault="00AE4DC5" w:rsidP="00963851">
      <w:pPr>
        <w:spacing w:line="192" w:lineRule="auto"/>
        <w:rPr>
          <w:rFonts w:ascii="Verdana" w:hAnsi="Verdana" w:cstheme="minorHAnsi"/>
          <w:color w:val="000000"/>
        </w:rPr>
      </w:pPr>
    </w:p>
    <w:p w:rsidR="00931910" w:rsidRPr="00E36637" w:rsidRDefault="00931910" w:rsidP="00963851">
      <w:pPr>
        <w:spacing w:line="192" w:lineRule="auto"/>
        <w:rPr>
          <w:rFonts w:ascii="Verdana" w:hAnsi="Verdana" w:cstheme="minorHAnsi"/>
          <w:color w:val="000000"/>
        </w:rPr>
      </w:pPr>
    </w:p>
    <w:tbl>
      <w:tblPr>
        <w:tblStyle w:val="Mriekatabuky"/>
        <w:tblpPr w:leftFromText="141" w:rightFromText="141" w:vertAnchor="text" w:horzAnchor="margin" w:tblpY="48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2173"/>
        <w:gridCol w:w="2962"/>
        <w:gridCol w:w="2823"/>
        <w:gridCol w:w="3617"/>
        <w:gridCol w:w="2653"/>
      </w:tblGrid>
      <w:tr w:rsidR="00B355A4" w:rsidRPr="00E36637" w:rsidTr="00B355A4"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lastRenderedPageBreak/>
              <w:t>Fázy implementácie</w:t>
            </w:r>
          </w:p>
        </w:tc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1</w:t>
            </w:r>
          </w:p>
        </w:tc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2</w:t>
            </w:r>
          </w:p>
        </w:tc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3</w:t>
            </w:r>
          </w:p>
        </w:tc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4</w:t>
            </w:r>
          </w:p>
        </w:tc>
      </w:tr>
      <w:tr w:rsidR="00B355A4" w:rsidRPr="00E36637" w:rsidTr="00B355A4">
        <w:trPr>
          <w:trHeight w:val="904"/>
        </w:trPr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Názov fáz</w:t>
            </w:r>
          </w:p>
        </w:tc>
        <w:tc>
          <w:tcPr>
            <w:tcW w:w="0" w:type="auto"/>
            <w:shd w:val="clear" w:color="auto" w:fill="C5E0B3" w:themeFill="accent6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9104C" w:rsidRDefault="00B355A4" w:rsidP="00B355A4">
            <w:pPr>
              <w:spacing w:line="220" w:lineRule="exac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A0C5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Iniciačná fáza:</w:t>
            </w:r>
            <w:r w:rsidRPr="00612AB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B355A4" w:rsidRPr="00612ABE" w:rsidRDefault="00B355A4" w:rsidP="00B355A4">
            <w:p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>oboznamovanie sa s aktivitou</w:t>
            </w:r>
          </w:p>
        </w:tc>
        <w:tc>
          <w:tcPr>
            <w:tcW w:w="0" w:type="auto"/>
            <w:shd w:val="clear" w:color="auto" w:fill="C5E0B3" w:themeFill="accent6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EA0C5B" w:rsidRDefault="00B355A4" w:rsidP="00B355A4">
            <w:pPr>
              <w:spacing w:line="220" w:lineRule="exac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A0C5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Vstupná fáza:</w:t>
            </w:r>
          </w:p>
          <w:p w:rsidR="00B355A4" w:rsidRPr="00612ABE" w:rsidRDefault="00B355A4" w:rsidP="00B355A4">
            <w:p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 xml:space="preserve">vzorová situácia; vstupná diagnostika úrovne </w:t>
            </w:r>
            <w:r w:rsidRPr="00612ABE">
              <w:rPr>
                <w:rFonts w:cstheme="minorHAnsi"/>
                <w:color w:val="000000"/>
                <w:sz w:val="20"/>
                <w:szCs w:val="20"/>
              </w:rPr>
              <w:t>žiačok/žiakov</w:t>
            </w:r>
          </w:p>
        </w:tc>
        <w:tc>
          <w:tcPr>
            <w:tcW w:w="0" w:type="auto"/>
            <w:shd w:val="clear" w:color="auto" w:fill="C5E0B3" w:themeFill="accent6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EA0C5B" w:rsidRDefault="00B355A4" w:rsidP="00B355A4">
            <w:pPr>
              <w:spacing w:line="220" w:lineRule="exac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A0C5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Fáza učenia sa: </w:t>
            </w:r>
          </w:p>
          <w:p w:rsidR="00B355A4" w:rsidRPr="00612ABE" w:rsidRDefault="00B355A4" w:rsidP="00B355A4">
            <w:p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 xml:space="preserve">cielený rozvoj kompetencií </w:t>
            </w:r>
            <w:r w:rsidRPr="00612ABE">
              <w:rPr>
                <w:rFonts w:cstheme="minorHAnsi"/>
                <w:color w:val="000000"/>
                <w:sz w:val="20"/>
                <w:szCs w:val="20"/>
              </w:rPr>
              <w:t>žiačok/žiakov</w:t>
            </w:r>
          </w:p>
        </w:tc>
        <w:tc>
          <w:tcPr>
            <w:tcW w:w="0" w:type="auto"/>
            <w:shd w:val="clear" w:color="auto" w:fill="C5E0B3" w:themeFill="accent6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612ABE" w:rsidRDefault="00B355A4" w:rsidP="00B355A4">
            <w:p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EA0C5B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Fáza utvrdzovania:</w:t>
            </w: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br/>
            </w:r>
            <w:r w:rsidRPr="00612ABE">
              <w:rPr>
                <w:rFonts w:cstheme="minorHAnsi"/>
                <w:bCs/>
                <w:color w:val="000000"/>
                <w:sz w:val="20"/>
                <w:szCs w:val="20"/>
              </w:rPr>
              <w:t>referenčné situácie utvrdzovania; záverečné hodnotenie</w:t>
            </w:r>
          </w:p>
        </w:tc>
      </w:tr>
      <w:tr w:rsidR="00B355A4" w:rsidRPr="00E36637" w:rsidTr="00B355A4">
        <w:trPr>
          <w:trHeight w:val="2250"/>
        </w:trPr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bCs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bCs/>
                <w:color w:val="1F4E79" w:themeColor="accent1" w:themeShade="80"/>
                <w:sz w:val="18"/>
                <w:szCs w:val="18"/>
              </w:rPr>
              <w:t>Pedagogická činnosť</w:t>
            </w:r>
          </w:p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bCs/>
                <w:color w:val="1F4E79" w:themeColor="accent1" w:themeShade="80"/>
                <w:sz w:val="18"/>
                <w:szCs w:val="18"/>
              </w:rPr>
              <w:t>v rámci fáz rozvíjania kompetencie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355A4" w:rsidRPr="00612ABE" w:rsidRDefault="00B355A4" w:rsidP="00B355A4">
            <w:pPr>
              <w:pStyle w:val="Odsekzoznamu"/>
              <w:numPr>
                <w:ilvl w:val="0"/>
                <w:numId w:val="1"/>
              </w:num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Vytvorenie situácie/aktivity, ktorá umožní žiačke/žiakovi postupne začať učebnú činnosť.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355A4" w:rsidRPr="00612ABE" w:rsidRDefault="00B355A4" w:rsidP="00B355A4">
            <w:pPr>
              <w:pStyle w:val="Odsekzoznamu"/>
              <w:numPr>
                <w:ilvl w:val="0"/>
                <w:numId w:val="4"/>
              </w:num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Vytvorenie, resp. navodenie problémovej situácie.</w:t>
            </w:r>
            <w:r w:rsidRPr="00612ABE">
              <w:rPr>
                <w:rFonts w:cstheme="minorHAnsi"/>
                <w:color w:val="000000"/>
                <w:sz w:val="20"/>
                <w:szCs w:val="20"/>
              </w:rPr>
              <w:br/>
              <w:t>Pozorovanie reakcie a správania žiačok/žiakov.</w:t>
            </w:r>
          </w:p>
          <w:p w:rsidR="00B355A4" w:rsidRPr="00612ABE" w:rsidRDefault="00B355A4" w:rsidP="00B355A4">
            <w:pPr>
              <w:pStyle w:val="Odsekzoznamu"/>
              <w:numPr>
                <w:ilvl w:val="0"/>
                <w:numId w:val="4"/>
              </w:num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Identifikovanie úrovne ich schopnosti adekvátne reagovať na situáciu.</w:t>
            </w:r>
          </w:p>
          <w:p w:rsidR="00B355A4" w:rsidRPr="00612ABE" w:rsidRDefault="00B355A4" w:rsidP="0059104C">
            <w:pPr>
              <w:pStyle w:val="Odsekzoznamu"/>
              <w:numPr>
                <w:ilvl w:val="0"/>
                <w:numId w:val="4"/>
              </w:num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Stanovenie cieľov, toho, čo sa má</w:t>
            </w:r>
            <w:r w:rsidR="0059104C">
              <w:t xml:space="preserve"> </w:t>
            </w:r>
            <w:r w:rsidR="0059104C" w:rsidRPr="0059104C">
              <w:rPr>
                <w:rFonts w:cstheme="minorHAnsi"/>
                <w:color w:val="000000"/>
                <w:sz w:val="20"/>
                <w:szCs w:val="20"/>
              </w:rPr>
              <w:t>žiačka/</w:t>
            </w:r>
            <w:r w:rsidRPr="00612ABE">
              <w:rPr>
                <w:rFonts w:cstheme="minorHAnsi"/>
                <w:color w:val="000000"/>
                <w:sz w:val="20"/>
                <w:szCs w:val="20"/>
              </w:rPr>
              <w:t xml:space="preserve"> žiak naučiť/to, čo má rozvíjať.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355A4" w:rsidRPr="00612ABE" w:rsidRDefault="00B355A4" w:rsidP="00B355A4">
            <w:pPr>
              <w:pStyle w:val="Odsekzoznamu"/>
              <w:numPr>
                <w:ilvl w:val="0"/>
                <w:numId w:val="2"/>
              </w:num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Návrh problémových situácií/otázok/</w:t>
            </w:r>
          </w:p>
          <w:p w:rsidR="00B355A4" w:rsidRPr="00612ABE" w:rsidRDefault="00B355A4" w:rsidP="00B355A4">
            <w:pPr>
              <w:pStyle w:val="Odsekzoznamu"/>
              <w:spacing w:line="220" w:lineRule="exact"/>
              <w:ind w:left="360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 xml:space="preserve">príkladov a pod., </w:t>
            </w:r>
          </w:p>
          <w:p w:rsidR="00B355A4" w:rsidRPr="00612ABE" w:rsidRDefault="00B355A4" w:rsidP="00B355A4">
            <w:pPr>
              <w:pStyle w:val="Odsekzoznamu"/>
              <w:spacing w:line="220" w:lineRule="exact"/>
              <w:ind w:left="360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ktoré podporia riešenie vstupného problému.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355A4" w:rsidRPr="00612ABE" w:rsidRDefault="00B355A4" w:rsidP="00B355A4">
            <w:pPr>
              <w:pStyle w:val="Odsekzoznamu"/>
              <w:numPr>
                <w:ilvl w:val="0"/>
                <w:numId w:val="3"/>
              </w:num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Aktivity umožňujúce pozitívne konštatovanie dosiahnutia vstupného cieľa.</w:t>
            </w:r>
          </w:p>
          <w:p w:rsidR="00B355A4" w:rsidRPr="00612ABE" w:rsidRDefault="00B355A4" w:rsidP="00B355A4">
            <w:pPr>
              <w:pStyle w:val="Odsekzoznamu"/>
              <w:numPr>
                <w:ilvl w:val="0"/>
                <w:numId w:val="3"/>
              </w:numPr>
              <w:spacing w:line="22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612ABE">
              <w:rPr>
                <w:rFonts w:cstheme="minorHAnsi"/>
                <w:color w:val="000000"/>
                <w:sz w:val="20"/>
                <w:szCs w:val="20"/>
              </w:rPr>
              <w:t>Aktivity umožňujúce uvedomenie si stupňa rozvoja kompetencií žiačok/žiakov.</w:t>
            </w:r>
          </w:p>
        </w:tc>
      </w:tr>
      <w:tr w:rsidR="00B355A4" w:rsidRPr="00E36637" w:rsidTr="00B355A4">
        <w:trPr>
          <w:trHeight w:val="215"/>
        </w:trPr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 xml:space="preserve">Počet činností na jednotlivé fázy 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355A4" w:rsidRPr="00E36637" w:rsidTr="00B355A4">
        <w:trPr>
          <w:trHeight w:val="312"/>
        </w:trPr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Čas potrebný na realizáciu fázy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15 minút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15 minút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50 minút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 minút</w:t>
            </w:r>
          </w:p>
        </w:tc>
      </w:tr>
      <w:tr w:rsidR="00B355A4" w:rsidRPr="00E36637" w:rsidTr="00B355A4"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Ciele jednotlivých činností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rPr>
                <w:color w:val="000000"/>
              </w:rPr>
            </w:pPr>
            <w:r>
              <w:rPr>
                <w:color w:val="000000"/>
              </w:rPr>
              <w:t xml:space="preserve">Aktivizovať </w:t>
            </w:r>
            <w:r w:rsidR="0059104C">
              <w:t xml:space="preserve"> </w:t>
            </w:r>
            <w:r w:rsidR="0059104C" w:rsidRPr="0059104C">
              <w:rPr>
                <w:color w:val="000000"/>
              </w:rPr>
              <w:t>žiačky/</w:t>
            </w:r>
            <w:r>
              <w:rPr>
                <w:color w:val="000000"/>
              </w:rPr>
              <w:t>žiakov, vyjadrovať životné plány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rPr>
                <w:color w:val="000000"/>
              </w:rPr>
            </w:pPr>
            <w:r>
              <w:rPr>
                <w:color w:val="000000"/>
              </w:rPr>
              <w:t>Spolupracovať v skupine, navrhovať riešenia životných problémov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rPr>
                <w:color w:val="000000"/>
              </w:rPr>
            </w:pPr>
            <w:r>
              <w:rPr>
                <w:color w:val="000000"/>
              </w:rPr>
              <w:t xml:space="preserve">Spolupracovať v skupine, posudzovať ponuky poistných produktov, overovať správnosť prezentovaných výsledkov 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rPr>
                <w:color w:val="000000"/>
              </w:rPr>
            </w:pPr>
            <w:r>
              <w:rPr>
                <w:color w:val="000000"/>
              </w:rPr>
              <w:t>Uvedomovať si životné riziká, mať prehľad o poistných produktoch</w:t>
            </w:r>
          </w:p>
        </w:tc>
      </w:tr>
      <w:tr w:rsidR="00B355A4" w:rsidRPr="00E36637" w:rsidTr="00B355A4"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Úlohy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355A4" w:rsidRPr="00E36637" w:rsidTr="00B355A4"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Varianty</w:t>
            </w:r>
          </w:p>
        </w:tc>
        <w:tc>
          <w:tcPr>
            <w:tcW w:w="0" w:type="auto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E0915" w:rsidRDefault="00B355A4" w:rsidP="00B355A4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355A4" w:rsidRPr="00E36637" w:rsidTr="00B355A4">
        <w:tc>
          <w:tcPr>
            <w:tcW w:w="0" w:type="auto"/>
            <w:shd w:val="clear" w:color="auto" w:fill="E2EFD9" w:themeFill="accent6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B73A5A" w:rsidRDefault="00B355A4" w:rsidP="00B355A4">
            <w:pPr>
              <w:spacing w:line="220" w:lineRule="exact"/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Typ hodnotenia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E36637" w:rsidRDefault="00B355A4" w:rsidP="00B355A4">
            <w:pPr>
              <w:spacing w:line="220" w:lineRule="exact"/>
              <w:rPr>
                <w:rFonts w:ascii="Verdana" w:hAnsi="Verdana" w:cstheme="minorHAnsi"/>
                <w:color w:val="000000"/>
              </w:rPr>
            </w:pP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E36637" w:rsidRDefault="00B355A4" w:rsidP="00B355A4">
            <w:pPr>
              <w:spacing w:line="220" w:lineRule="exact"/>
              <w:jc w:val="center"/>
              <w:rPr>
                <w:rFonts w:ascii="Verdana" w:hAnsi="Verdana" w:cstheme="minorHAnsi"/>
                <w:color w:val="000000"/>
              </w:rPr>
            </w:pPr>
            <w:r w:rsidRPr="00E36637">
              <w:rPr>
                <w:rFonts w:ascii="Verdana" w:hAnsi="Verdana" w:cstheme="minorHAnsi"/>
                <w:color w:val="000000"/>
              </w:rPr>
              <w:t>Sumatívne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E36637" w:rsidRDefault="00B355A4" w:rsidP="00B355A4">
            <w:pPr>
              <w:spacing w:line="220" w:lineRule="exact"/>
              <w:jc w:val="center"/>
              <w:rPr>
                <w:rFonts w:ascii="Verdana" w:hAnsi="Verdana" w:cstheme="minorHAnsi"/>
                <w:color w:val="000000"/>
              </w:rPr>
            </w:pPr>
            <w:r w:rsidRPr="00E36637">
              <w:rPr>
                <w:rFonts w:ascii="Verdana" w:hAnsi="Verdana" w:cstheme="minorHAnsi"/>
                <w:color w:val="000000"/>
              </w:rPr>
              <w:t>Sumatívne</w:t>
            </w:r>
          </w:p>
        </w:tc>
        <w:tc>
          <w:tcPr>
            <w:tcW w:w="0" w:type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B355A4" w:rsidRPr="00E36637" w:rsidRDefault="00B355A4" w:rsidP="00B355A4">
            <w:pPr>
              <w:spacing w:line="220" w:lineRule="exact"/>
              <w:jc w:val="center"/>
              <w:rPr>
                <w:rFonts w:ascii="Verdana" w:hAnsi="Verdana" w:cstheme="minorHAnsi"/>
                <w:color w:val="000000"/>
              </w:rPr>
            </w:pPr>
            <w:r w:rsidRPr="00E36637">
              <w:rPr>
                <w:rFonts w:ascii="Verdana" w:hAnsi="Verdana" w:cstheme="minorHAnsi"/>
                <w:color w:val="000000"/>
              </w:rPr>
              <w:t>Sumatívne</w:t>
            </w:r>
          </w:p>
        </w:tc>
      </w:tr>
    </w:tbl>
    <w:p w:rsidR="00230F67" w:rsidRDefault="00230F67" w:rsidP="009551F3">
      <w:pPr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</w:pPr>
    </w:p>
    <w:p w:rsidR="00392C0D" w:rsidRPr="00612ABE" w:rsidRDefault="003E17D6" w:rsidP="00482014">
      <w:pPr>
        <w:shd w:val="clear" w:color="auto" w:fill="FFFFFF"/>
        <w:spacing w:line="240" w:lineRule="auto"/>
        <w:ind w:left="1134"/>
        <w:jc w:val="both"/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</w:pPr>
      <w:r>
        <w:rPr>
          <w:rFonts w:ascii="Verdana" w:eastAsia="Times New Roman" w:hAnsi="Verdana" w:cstheme="minorHAnsi"/>
          <w:b/>
          <w:noProof/>
          <w:color w:val="1F4E79" w:themeColor="accent1" w:themeShade="80"/>
          <w:sz w:val="24"/>
          <w:szCs w:val="24"/>
          <w:lang w:eastAsia="sk-SK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8289</wp:posOffset>
            </wp:positionH>
            <wp:positionV relativeFrom="paragraph">
              <wp:posOffset>1905</wp:posOffset>
            </wp:positionV>
            <wp:extent cx="542290" cy="536575"/>
            <wp:effectExtent l="0" t="0" r="0" b="0"/>
            <wp:wrapNone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DCE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1:</w:t>
      </w:r>
      <w:r w:rsidR="00144DCE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:rsidR="00B355A4" w:rsidRPr="00B355A4" w:rsidRDefault="00B355A4" w:rsidP="00B355A4">
      <w:pPr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color w:val="000000"/>
          <w:sz w:val="24"/>
          <w:szCs w:val="24"/>
          <w:lang w:eastAsia="sk-SK"/>
        </w:rPr>
      </w:pPr>
      <w:r w:rsidRPr="00B355A4">
        <w:rPr>
          <w:rFonts w:eastAsia="Times New Roman" w:cstheme="minorHAnsi"/>
          <w:color w:val="000000"/>
          <w:sz w:val="24"/>
          <w:szCs w:val="24"/>
          <w:lang w:eastAsia="sk-SK"/>
        </w:rPr>
        <w:t>Žiačky/žiaci si vo dvojici ťahajú dve kartičky. Na prvej kôpke sú kartičky so slovami a slovnými spojeniami. Na druhej kôpke sú činnosti, ktorými majú dané slová alebo slovné spojenia stvárniť.</w:t>
      </w:r>
    </w:p>
    <w:p w:rsidR="00B355A4" w:rsidRPr="00B355A4" w:rsidRDefault="00B355A4" w:rsidP="00B355A4">
      <w:pPr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color w:val="000000"/>
          <w:sz w:val="24"/>
          <w:szCs w:val="24"/>
          <w:lang w:eastAsia="sk-SK"/>
        </w:rPr>
      </w:pPr>
      <w:r w:rsidRPr="00B355A4">
        <w:rPr>
          <w:rFonts w:eastAsia="Times New Roman" w:cstheme="minorHAnsi"/>
          <w:color w:val="000000"/>
          <w:sz w:val="24"/>
          <w:szCs w:val="24"/>
          <w:lang w:eastAsia="sk-SK"/>
        </w:rPr>
        <w:t>Prvá kôpka: autohavária, zlomená noha, povodeň, požiar, krádež auta, vykradnutie bytu (6 lístkov v kôpke)</w:t>
      </w:r>
    </w:p>
    <w:p w:rsidR="00727246" w:rsidRPr="00C950A3" w:rsidRDefault="00B355A4" w:rsidP="00B355A4">
      <w:pPr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color w:val="000000"/>
          <w:sz w:val="20"/>
          <w:szCs w:val="20"/>
          <w:lang w:eastAsia="sk-SK"/>
        </w:rPr>
      </w:pPr>
      <w:r w:rsidRPr="00B355A4">
        <w:rPr>
          <w:rFonts w:eastAsia="Times New Roman" w:cstheme="minorHAnsi"/>
          <w:color w:val="000000"/>
          <w:sz w:val="24"/>
          <w:szCs w:val="24"/>
          <w:lang w:eastAsia="sk-SK"/>
        </w:rPr>
        <w:t>Druhá kôpka: kreslenie, hovorenie, pantomíma (6 lístkov v kôpke – 2x kreslenie, 2x hovorenie, 2x pantomíma)</w:t>
      </w:r>
    </w:p>
    <w:p w:rsidR="00727246" w:rsidRPr="00E36637" w:rsidRDefault="00727246" w:rsidP="00482014">
      <w:pPr>
        <w:shd w:val="clear" w:color="auto" w:fill="FFFFFF"/>
        <w:spacing w:after="0" w:line="240" w:lineRule="auto"/>
        <w:ind w:left="1134"/>
        <w:jc w:val="both"/>
        <w:rPr>
          <w:rFonts w:ascii="Verdana" w:eastAsia="Times New Roman" w:hAnsi="Verdana" w:cstheme="minorHAnsi"/>
          <w:color w:val="000000"/>
          <w:sz w:val="20"/>
          <w:szCs w:val="20"/>
          <w:lang w:eastAsia="sk-SK"/>
        </w:rPr>
      </w:pPr>
    </w:p>
    <w:p w:rsidR="00392C0D" w:rsidRPr="00612ABE" w:rsidRDefault="003E17D6" w:rsidP="00482014">
      <w:pPr>
        <w:spacing w:line="240" w:lineRule="auto"/>
        <w:ind w:left="1134"/>
        <w:rPr>
          <w:rFonts w:ascii="Verdana" w:eastAsia="Times New Roman" w:hAnsi="Verdana" w:cstheme="minorHAnsi"/>
          <w:b/>
          <w:color w:val="1F4E79" w:themeColor="accent1" w:themeShade="80"/>
          <w:sz w:val="20"/>
          <w:szCs w:val="20"/>
          <w:lang w:eastAsia="sk-SK"/>
        </w:rPr>
      </w:pPr>
      <w:r>
        <w:rPr>
          <w:rFonts w:ascii="Verdana" w:eastAsia="Times New Roman" w:hAnsi="Verdana" w:cstheme="minorHAnsi"/>
          <w:b/>
          <w:noProof/>
          <w:color w:val="1F4E79" w:themeColor="accent1" w:themeShade="80"/>
          <w:sz w:val="24"/>
          <w:szCs w:val="24"/>
          <w:lang w:eastAsia="sk-SK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43815</wp:posOffset>
            </wp:positionV>
            <wp:extent cx="536575" cy="536575"/>
            <wp:effectExtent l="0" t="0" r="0" b="0"/>
            <wp:wrapNone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DCE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 xml:space="preserve">Fáza </w:t>
      </w:r>
      <w:r w:rsidR="004A5A69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2:</w:t>
      </w:r>
      <w:r w:rsidR="00EE382C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:rsidR="00B355A4" w:rsidRPr="00B355A4" w:rsidRDefault="00B355A4" w:rsidP="00B355A4">
      <w:pPr>
        <w:spacing w:after="0" w:line="240" w:lineRule="auto"/>
        <w:ind w:left="1134"/>
        <w:jc w:val="both"/>
        <w:rPr>
          <w:rFonts w:eastAsia="Times New Roman" w:cstheme="minorHAnsi"/>
          <w:color w:val="000000"/>
          <w:sz w:val="24"/>
          <w:szCs w:val="24"/>
          <w:lang w:eastAsia="sk-SK"/>
        </w:rPr>
      </w:pPr>
      <w:r w:rsidRPr="00B355A4">
        <w:rPr>
          <w:rFonts w:eastAsia="Times New Roman" w:cstheme="minorHAnsi"/>
          <w:color w:val="000000"/>
          <w:sz w:val="24"/>
          <w:szCs w:val="24"/>
          <w:lang w:eastAsia="sk-SK"/>
        </w:rPr>
        <w:t>Žiačky/žiaci pracujú v skupinách. Každá skupina si vyžrebuje dve slovné spojenia z prvej kôpky. Žiačky/žiaci v skupinách navrhujú spôsoby, ktorými:</w:t>
      </w:r>
    </w:p>
    <w:p w:rsidR="00B355A4" w:rsidRPr="00B355A4" w:rsidRDefault="00B355A4" w:rsidP="00B355A4">
      <w:pPr>
        <w:spacing w:after="0" w:line="240" w:lineRule="auto"/>
        <w:ind w:left="1134"/>
        <w:jc w:val="both"/>
        <w:rPr>
          <w:rFonts w:eastAsia="Times New Roman" w:cstheme="minorHAnsi"/>
          <w:color w:val="000000"/>
          <w:sz w:val="24"/>
          <w:szCs w:val="24"/>
          <w:lang w:eastAsia="sk-SK"/>
        </w:rPr>
      </w:pPr>
      <w:r w:rsidRPr="00B355A4">
        <w:rPr>
          <w:rFonts w:eastAsia="Times New Roman" w:cstheme="minorHAnsi"/>
          <w:color w:val="000000"/>
          <w:sz w:val="24"/>
          <w:szCs w:val="24"/>
          <w:lang w:eastAsia="sk-SK"/>
        </w:rPr>
        <w:t>A)</w:t>
      </w:r>
      <w:r w:rsidRPr="00B355A4">
        <w:rPr>
          <w:rFonts w:eastAsia="Times New Roman" w:cstheme="minorHAnsi"/>
          <w:color w:val="000000"/>
          <w:sz w:val="24"/>
          <w:szCs w:val="24"/>
          <w:lang w:eastAsia="sk-SK"/>
        </w:rPr>
        <w:tab/>
        <w:t>sa dá rizikám z vyžrebovaných udalostí vyhnúť;</w:t>
      </w:r>
    </w:p>
    <w:p w:rsidR="00727246" w:rsidRPr="00C950A3" w:rsidRDefault="00B355A4" w:rsidP="00B355A4">
      <w:pPr>
        <w:spacing w:after="0" w:line="240" w:lineRule="auto"/>
        <w:ind w:left="1134"/>
        <w:jc w:val="both"/>
        <w:rPr>
          <w:rFonts w:eastAsia="Times New Roman" w:cstheme="minorHAnsi"/>
          <w:b/>
          <w:color w:val="000000"/>
          <w:sz w:val="24"/>
          <w:szCs w:val="24"/>
          <w:lang w:eastAsia="sk-SK"/>
        </w:rPr>
      </w:pPr>
      <w:r w:rsidRPr="00B355A4">
        <w:rPr>
          <w:rFonts w:eastAsia="Times New Roman" w:cstheme="minorHAnsi"/>
          <w:color w:val="000000"/>
          <w:sz w:val="24"/>
          <w:szCs w:val="24"/>
          <w:lang w:eastAsia="sk-SK"/>
        </w:rPr>
        <w:t>B)</w:t>
      </w:r>
      <w:r w:rsidRPr="00B355A4">
        <w:rPr>
          <w:rFonts w:eastAsia="Times New Roman" w:cstheme="minorHAnsi"/>
          <w:color w:val="000000"/>
          <w:sz w:val="24"/>
          <w:szCs w:val="24"/>
          <w:lang w:eastAsia="sk-SK"/>
        </w:rPr>
        <w:tab/>
        <w:t>sa dajú znížiť dopady  vyžrebovaných udalostí.</w:t>
      </w:r>
    </w:p>
    <w:p w:rsidR="00727246" w:rsidRPr="00E36637" w:rsidRDefault="00727246" w:rsidP="00482014">
      <w:pPr>
        <w:spacing w:after="0" w:line="240" w:lineRule="auto"/>
        <w:ind w:left="1134"/>
        <w:jc w:val="both"/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</w:pPr>
    </w:p>
    <w:p w:rsidR="00392C0D" w:rsidRPr="00E36637" w:rsidRDefault="003E17D6" w:rsidP="00482014">
      <w:pPr>
        <w:spacing w:line="240" w:lineRule="auto"/>
        <w:ind w:left="1134"/>
        <w:jc w:val="both"/>
        <w:rPr>
          <w:rFonts w:ascii="Verdana" w:eastAsia="Times New Roman" w:hAnsi="Verdana" w:cstheme="minorHAnsi"/>
          <w:color w:val="000000"/>
          <w:sz w:val="24"/>
          <w:szCs w:val="24"/>
          <w:lang w:eastAsia="sk-SK"/>
        </w:rPr>
      </w:pPr>
      <w:r>
        <w:rPr>
          <w:rFonts w:ascii="Verdana" w:eastAsia="Times New Roman" w:hAnsi="Verdana" w:cstheme="minorHAnsi"/>
          <w:b/>
          <w:noProof/>
          <w:color w:val="1F4E79" w:themeColor="accent1" w:themeShade="80"/>
          <w:sz w:val="24"/>
          <w:szCs w:val="24"/>
          <w:lang w:eastAsia="sk-SK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168275</wp:posOffset>
            </wp:positionV>
            <wp:extent cx="542290" cy="536575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511" w:rsidRPr="00E36637"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  <w:br/>
      </w:r>
      <w:r w:rsidR="00D558C6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3:</w:t>
      </w:r>
      <w:r w:rsidR="004D0793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:rsidR="007E1669" w:rsidRPr="007E1669" w:rsidRDefault="00B355A4" w:rsidP="00B355A4">
      <w:pPr>
        <w:spacing w:after="0" w:line="240" w:lineRule="auto"/>
        <w:ind w:left="1134"/>
        <w:jc w:val="both"/>
        <w:rPr>
          <w:rFonts w:eastAsia="Times New Roman" w:cstheme="minorHAnsi"/>
          <w:color w:val="000000"/>
          <w:sz w:val="24"/>
          <w:szCs w:val="24"/>
          <w:lang w:eastAsia="sk-SK"/>
        </w:rPr>
      </w:pPr>
      <w:r w:rsidRPr="00B355A4">
        <w:rPr>
          <w:rFonts w:eastAsia="Times New Roman" w:cstheme="minorHAnsi"/>
          <w:color w:val="000000"/>
          <w:sz w:val="24"/>
          <w:szCs w:val="24"/>
          <w:lang w:eastAsia="sk-SK"/>
        </w:rPr>
        <w:t>Učiteľka/učiteľ vyžrebuje dve slovné spojenia z prvej kôpky. Žiačky/žiaci vyhľadajú na internete tri ponuky poistenia, ktoré sa vzťahujú na vyžrebované poistné udalosti. Rozčlenia a zhodnotia nájdené ponuky. Na základe získaných informácií rozhodnú, ktorú poisťovňu by si zvolili. Každá skupina prezentuje výsledky svojho zisťovania. Členky/členovia ostatných skupín overujú správnosť rozhodnutia prezentujúcej skupiny, kladú doplňujúce otázky.</w:t>
      </w:r>
    </w:p>
    <w:p w:rsidR="00246997" w:rsidRPr="00E36637" w:rsidRDefault="003E17D6" w:rsidP="00B355A4">
      <w:pPr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</w:pPr>
      <w:r w:rsidRPr="003E17D6">
        <w:rPr>
          <w:rFonts w:ascii="Calibri" w:eastAsia="Calibri" w:hAnsi="Calibri" w:cs="Times New Roman"/>
          <w:noProof/>
          <w:lang w:eastAsia="sk-SK"/>
        </w:rPr>
        <w:drawing>
          <wp:anchor distT="0" distB="0" distL="114300" distR="114300" simplePos="0" relativeHeight="251663872" behindDoc="1" locked="0" layoutInCell="1" allowOverlap="1" wp14:anchorId="47BDA8BB" wp14:editId="51FEDE7B">
            <wp:simplePos x="0" y="0"/>
            <wp:positionH relativeFrom="margin">
              <wp:posOffset>6985</wp:posOffset>
            </wp:positionH>
            <wp:positionV relativeFrom="paragraph">
              <wp:posOffset>273050</wp:posOffset>
            </wp:positionV>
            <wp:extent cx="540000" cy="540000"/>
            <wp:effectExtent l="0" t="0" r="0" b="0"/>
            <wp:wrapNone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dvojic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2C0D" w:rsidRPr="00612ABE" w:rsidRDefault="004D0793" w:rsidP="00482014">
      <w:pPr>
        <w:shd w:val="clear" w:color="auto" w:fill="FFFFFF"/>
        <w:spacing w:after="240" w:line="240" w:lineRule="auto"/>
        <w:ind w:left="1134"/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</w:pPr>
      <w:r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4:</w:t>
      </w:r>
      <w:r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:rsidR="00F43366" w:rsidRPr="00C950A3" w:rsidRDefault="00B355A4" w:rsidP="00B355A4">
      <w:pPr>
        <w:shd w:val="clear" w:color="auto" w:fill="FFFFFF"/>
        <w:spacing w:after="240" w:line="240" w:lineRule="auto"/>
        <w:ind w:left="1134"/>
        <w:rPr>
          <w:rFonts w:cstheme="minorHAnsi"/>
          <w:i/>
          <w:sz w:val="20"/>
          <w:szCs w:val="20"/>
        </w:rPr>
      </w:pPr>
      <w:r w:rsidRPr="00B355A4">
        <w:rPr>
          <w:rFonts w:eastAsia="Times New Roman" w:cstheme="minorHAnsi"/>
          <w:color w:val="000000"/>
          <w:sz w:val="24"/>
          <w:szCs w:val="24"/>
          <w:lang w:eastAsia="sk-SK"/>
        </w:rPr>
        <w:t>Žiačky/žiaci si uvedomujú potrebu poistiť zdravie a majetok, chápu potrebu poistiť sa voči rizikám.</w:t>
      </w:r>
    </w:p>
    <w:sectPr w:rsidR="00F43366" w:rsidRPr="00C950A3" w:rsidSect="00C631E8">
      <w:headerReference w:type="default" r:id="rId12"/>
      <w:footerReference w:type="default" r:id="rId13"/>
      <w:pgSz w:w="16838" w:h="11906" w:orient="landscape" w:code="9"/>
      <w:pgMar w:top="1418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63D" w:rsidRDefault="000A263D" w:rsidP="001E7DCE">
      <w:pPr>
        <w:spacing w:after="0" w:line="240" w:lineRule="auto"/>
      </w:pPr>
      <w:r>
        <w:separator/>
      </w:r>
    </w:p>
  </w:endnote>
  <w:endnote w:type="continuationSeparator" w:id="0">
    <w:p w:rsidR="000A263D" w:rsidRDefault="000A263D" w:rsidP="001E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C57" w:rsidRPr="00943F41" w:rsidRDefault="00140C57">
    <w:pPr>
      <w:pStyle w:val="Pta"/>
      <w:rPr>
        <w:rFonts w:ascii="Verdana" w:hAnsi="Verdana"/>
        <w:sz w:val="18"/>
        <w:szCs w:val="18"/>
      </w:rPr>
    </w:pPr>
  </w:p>
  <w:p w:rsidR="00C14BC5" w:rsidRPr="00943F41" w:rsidRDefault="00C14BC5" w:rsidP="00392C0D">
    <w:pPr>
      <w:pStyle w:val="Pta"/>
      <w:tabs>
        <w:tab w:val="left" w:pos="4813"/>
      </w:tabs>
      <w:rPr>
        <w:rFonts w:ascii="Verdana" w:hAnsi="Verdana"/>
        <w:b/>
        <w:sz w:val="18"/>
        <w:szCs w:val="18"/>
      </w:rPr>
    </w:pPr>
    <w:r w:rsidRPr="00943F41">
      <w:rPr>
        <w:rFonts w:ascii="Verdana" w:hAnsi="Verdana"/>
        <w:b/>
        <w:sz w:val="18"/>
        <w:szCs w:val="18"/>
      </w:rPr>
      <w:t>Návrh metodického listu:</w:t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="00392C0D"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b/>
        <w:sz w:val="18"/>
        <w:szCs w:val="18"/>
      </w:rPr>
      <w:t>Autor metodického listu:</w:t>
    </w:r>
  </w:p>
  <w:p w:rsidR="00C14BC5" w:rsidRPr="00943F41" w:rsidRDefault="003E17D6">
    <w:pPr>
      <w:pStyle w:val="Pta"/>
      <w:rPr>
        <w:rFonts w:ascii="Verdana" w:hAnsi="Verdana"/>
        <w:sz w:val="18"/>
        <w:szCs w:val="18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1804D524" wp14:editId="0C717E2A">
          <wp:simplePos x="0" y="0"/>
          <wp:positionH relativeFrom="column">
            <wp:posOffset>7954645</wp:posOffset>
          </wp:positionH>
          <wp:positionV relativeFrom="page">
            <wp:posOffset>6793230</wp:posOffset>
          </wp:positionV>
          <wp:extent cx="1853565" cy="791845"/>
          <wp:effectExtent l="0" t="0" r="0" b="8255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ztek-nadac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3565" cy="79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4BC5" w:rsidRPr="00943F41">
      <w:rPr>
        <w:rFonts w:ascii="Verdana" w:hAnsi="Verdana"/>
        <w:sz w:val="18"/>
        <w:szCs w:val="18"/>
      </w:rPr>
      <w:t>Darina De Jaegher</w:t>
    </w:r>
    <w:r w:rsidR="00C14BC5" w:rsidRPr="00943F41">
      <w:rPr>
        <w:rFonts w:ascii="Verdana" w:hAnsi="Verdana"/>
        <w:sz w:val="18"/>
        <w:szCs w:val="18"/>
      </w:rPr>
      <w:tab/>
    </w:r>
    <w:r w:rsidR="00C14BC5" w:rsidRPr="00943F41">
      <w:rPr>
        <w:rFonts w:ascii="Verdana" w:hAnsi="Verdana"/>
        <w:sz w:val="18"/>
        <w:szCs w:val="18"/>
      </w:rPr>
      <w:tab/>
    </w:r>
    <w:r w:rsidR="00C14BC5" w:rsidRPr="00943F41">
      <w:rPr>
        <w:rFonts w:ascii="Verdana" w:hAnsi="Verdana"/>
        <w:sz w:val="18"/>
        <w:szCs w:val="18"/>
      </w:rPr>
      <w:tab/>
    </w:r>
    <w:r w:rsidR="00C14BC5" w:rsidRPr="00943F41">
      <w:rPr>
        <w:rFonts w:ascii="Verdana" w:hAnsi="Verdana"/>
        <w:sz w:val="18"/>
        <w:szCs w:val="18"/>
      </w:rPr>
      <w:tab/>
    </w:r>
    <w:r w:rsidR="00C14BC5" w:rsidRPr="00943F41">
      <w:rPr>
        <w:rFonts w:ascii="Verdana" w:hAnsi="Verdana"/>
        <w:sz w:val="18"/>
        <w:szCs w:val="18"/>
      </w:rPr>
      <w:tab/>
    </w:r>
    <w:r w:rsidR="0059104C" w:rsidRPr="0059104C">
      <w:rPr>
        <w:rFonts w:ascii="Verdana" w:hAnsi="Verdana"/>
        <w:sz w:val="18"/>
        <w:szCs w:val="18"/>
      </w:rPr>
      <w:t>Karel Dvořák</w:t>
    </w:r>
    <w:r>
      <w:rPr>
        <w:rFonts w:ascii="Verdana" w:hAnsi="Verdana"/>
        <w:sz w:val="18"/>
        <w:szCs w:val="18"/>
      </w:rPr>
      <w:t xml:space="preserve">      </w:t>
    </w:r>
  </w:p>
  <w:p w:rsidR="00E76165" w:rsidRPr="00943F41" w:rsidRDefault="00C14BC5" w:rsidP="00E76165">
    <w:pPr>
      <w:pStyle w:val="Pta"/>
      <w:rPr>
        <w:rFonts w:ascii="Verdana" w:hAnsi="Verdana"/>
        <w:sz w:val="18"/>
        <w:szCs w:val="18"/>
      </w:rPr>
    </w:pPr>
    <w:r w:rsidRPr="00943F41">
      <w:rPr>
        <w:rFonts w:ascii="Verdana" w:hAnsi="Verdana"/>
        <w:sz w:val="18"/>
        <w:szCs w:val="18"/>
      </w:rPr>
      <w:t>Ivana Gregorová</w:t>
    </w:r>
    <w:r w:rsidR="001E7DCE" w:rsidRPr="00943F41">
      <w:rPr>
        <w:rFonts w:ascii="Verdana" w:hAnsi="Verdana"/>
        <w:sz w:val="18"/>
        <w:szCs w:val="18"/>
      </w:rPr>
      <w:ptab w:relativeTo="margin" w:alignment="center" w:leader="none"/>
    </w:r>
    <w:r w:rsidR="00E76165" w:rsidRPr="00943F41">
      <w:rPr>
        <w:rFonts w:ascii="Verdana" w:hAnsi="Verdana"/>
        <w:noProof/>
        <w:sz w:val="18"/>
        <w:szCs w:val="18"/>
        <w:lang w:eastAsia="sk-SK"/>
      </w:rPr>
      <w:drawing>
        <wp:inline distT="0" distB="0" distL="0" distR="0" wp14:anchorId="3067C0F4" wp14:editId="17622F94">
          <wp:extent cx="8892540" cy="5003165"/>
          <wp:effectExtent l="0" t="0" r="3810" b="698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mMini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5003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7DCE" w:rsidRPr="00943F41" w:rsidRDefault="00C14BC5" w:rsidP="00A756F9">
    <w:pPr>
      <w:pStyle w:val="Pta"/>
      <w:rPr>
        <w:rFonts w:ascii="Verdana" w:eastAsiaTheme="minorEastAsia" w:hAnsi="Verdana"/>
        <w:sz w:val="18"/>
        <w:szCs w:val="18"/>
      </w:rPr>
    </w:pPr>
    <w:r w:rsidRPr="00943F41">
      <w:rPr>
        <w:rFonts w:ascii="Verdana" w:hAnsi="Verdana"/>
        <w:sz w:val="18"/>
        <w:szCs w:val="18"/>
      </w:rPr>
      <w:tab/>
    </w:r>
    <w:r w:rsidR="001E7DCE" w:rsidRPr="00943F41">
      <w:rPr>
        <w:rFonts w:ascii="Verdana" w:hAnsi="Verdana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63D" w:rsidRDefault="000A263D" w:rsidP="001E7DCE">
      <w:pPr>
        <w:spacing w:after="0" w:line="240" w:lineRule="auto"/>
      </w:pPr>
      <w:r>
        <w:separator/>
      </w:r>
    </w:p>
  </w:footnote>
  <w:footnote w:type="continuationSeparator" w:id="0">
    <w:p w:rsidR="000A263D" w:rsidRDefault="000A263D" w:rsidP="001E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796" w:rsidRDefault="003E17D6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651B3F72" wp14:editId="615DD33A">
          <wp:simplePos x="0" y="0"/>
          <wp:positionH relativeFrom="margin">
            <wp:posOffset>-920115</wp:posOffset>
          </wp:positionH>
          <wp:positionV relativeFrom="page">
            <wp:posOffset>-2540</wp:posOffset>
          </wp:positionV>
          <wp:extent cx="1799590" cy="1007745"/>
          <wp:effectExtent l="0" t="0" r="0" b="0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oztek-zele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007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81796" w:rsidRDefault="0048179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44610"/>
    <w:multiLevelType w:val="hybridMultilevel"/>
    <w:tmpl w:val="17FEF1D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B1B73"/>
    <w:multiLevelType w:val="hybridMultilevel"/>
    <w:tmpl w:val="903AA212"/>
    <w:lvl w:ilvl="0" w:tplc="C9E255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70AD47" w:themeColor="accent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D3130"/>
    <w:multiLevelType w:val="hybridMultilevel"/>
    <w:tmpl w:val="6566600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F690D"/>
    <w:multiLevelType w:val="hybridMultilevel"/>
    <w:tmpl w:val="CD663F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E7CB4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3504F6"/>
    <w:multiLevelType w:val="hybridMultilevel"/>
    <w:tmpl w:val="E3B2BDE6"/>
    <w:lvl w:ilvl="0" w:tplc="AABEC2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B832A9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6286B42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D2303E"/>
    <w:multiLevelType w:val="hybridMultilevel"/>
    <w:tmpl w:val="DCB24060"/>
    <w:lvl w:ilvl="0" w:tplc="AABEC2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FE5332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6056F98"/>
    <w:multiLevelType w:val="hybridMultilevel"/>
    <w:tmpl w:val="CA5A58F8"/>
    <w:lvl w:ilvl="0" w:tplc="C9E255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70AD47" w:themeColor="accent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7701A6"/>
    <w:multiLevelType w:val="hybridMultilevel"/>
    <w:tmpl w:val="FD0C3B6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11"/>
  </w:num>
  <w:num w:numId="7">
    <w:abstractNumId w:val="5"/>
  </w:num>
  <w:num w:numId="8">
    <w:abstractNumId w:val="8"/>
  </w:num>
  <w:num w:numId="9">
    <w:abstractNumId w:val="2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4dArIV1yfWaJFlu5OuuRvXXdCv5lNwCp1S4h1EoA88CiZqxgc9FLFA138cOfKU0zuu+zAW/tM+7ZpANLqaZtKw==" w:salt="wVCPPqMBSc3LIhMhAgzf2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BD"/>
    <w:rsid w:val="00025004"/>
    <w:rsid w:val="00045275"/>
    <w:rsid w:val="0005039E"/>
    <w:rsid w:val="00073843"/>
    <w:rsid w:val="000A263D"/>
    <w:rsid w:val="000F22FE"/>
    <w:rsid w:val="0010544D"/>
    <w:rsid w:val="00114ACE"/>
    <w:rsid w:val="00137EEB"/>
    <w:rsid w:val="00140C57"/>
    <w:rsid w:val="00144DCE"/>
    <w:rsid w:val="001764FF"/>
    <w:rsid w:val="001901BC"/>
    <w:rsid w:val="00192510"/>
    <w:rsid w:val="001A4D27"/>
    <w:rsid w:val="001B01BE"/>
    <w:rsid w:val="001E7DCE"/>
    <w:rsid w:val="00230F67"/>
    <w:rsid w:val="002322A9"/>
    <w:rsid w:val="00246997"/>
    <w:rsid w:val="002613A3"/>
    <w:rsid w:val="00264FD0"/>
    <w:rsid w:val="00274281"/>
    <w:rsid w:val="00277511"/>
    <w:rsid w:val="00290945"/>
    <w:rsid w:val="00297442"/>
    <w:rsid w:val="002C5755"/>
    <w:rsid w:val="002D2A70"/>
    <w:rsid w:val="002D30DC"/>
    <w:rsid w:val="002D6F02"/>
    <w:rsid w:val="002E2512"/>
    <w:rsid w:val="002F5F0C"/>
    <w:rsid w:val="003562C3"/>
    <w:rsid w:val="00360ED0"/>
    <w:rsid w:val="00392C0D"/>
    <w:rsid w:val="003C0B31"/>
    <w:rsid w:val="003E17D6"/>
    <w:rsid w:val="003F09E7"/>
    <w:rsid w:val="003F1CDC"/>
    <w:rsid w:val="00411584"/>
    <w:rsid w:val="00414B87"/>
    <w:rsid w:val="004340BC"/>
    <w:rsid w:val="004438AB"/>
    <w:rsid w:val="004452C9"/>
    <w:rsid w:val="00470888"/>
    <w:rsid w:val="0047121D"/>
    <w:rsid w:val="00473132"/>
    <w:rsid w:val="00481796"/>
    <w:rsid w:val="00482014"/>
    <w:rsid w:val="004A01F0"/>
    <w:rsid w:val="004A3FD1"/>
    <w:rsid w:val="004A5A69"/>
    <w:rsid w:val="004C6B93"/>
    <w:rsid w:val="004C7335"/>
    <w:rsid w:val="004D0302"/>
    <w:rsid w:val="004D0793"/>
    <w:rsid w:val="00507185"/>
    <w:rsid w:val="0050787F"/>
    <w:rsid w:val="005249C4"/>
    <w:rsid w:val="0053765E"/>
    <w:rsid w:val="00553016"/>
    <w:rsid w:val="00564853"/>
    <w:rsid w:val="00567A22"/>
    <w:rsid w:val="0059104C"/>
    <w:rsid w:val="005A2C12"/>
    <w:rsid w:val="005B14BD"/>
    <w:rsid w:val="005E3D80"/>
    <w:rsid w:val="005F134A"/>
    <w:rsid w:val="00612ABE"/>
    <w:rsid w:val="006374C1"/>
    <w:rsid w:val="00640824"/>
    <w:rsid w:val="00661FE2"/>
    <w:rsid w:val="00677D8C"/>
    <w:rsid w:val="00691308"/>
    <w:rsid w:val="006A29B3"/>
    <w:rsid w:val="006B3364"/>
    <w:rsid w:val="006C4389"/>
    <w:rsid w:val="006C6829"/>
    <w:rsid w:val="006D78E6"/>
    <w:rsid w:val="006E0AB3"/>
    <w:rsid w:val="007078F1"/>
    <w:rsid w:val="007269CE"/>
    <w:rsid w:val="00727246"/>
    <w:rsid w:val="0076629D"/>
    <w:rsid w:val="007723EB"/>
    <w:rsid w:val="00776226"/>
    <w:rsid w:val="00781B4E"/>
    <w:rsid w:val="007A1E0F"/>
    <w:rsid w:val="007A38C5"/>
    <w:rsid w:val="007A7DC8"/>
    <w:rsid w:val="007C0261"/>
    <w:rsid w:val="007C7518"/>
    <w:rsid w:val="007E04A0"/>
    <w:rsid w:val="007E1669"/>
    <w:rsid w:val="007E2DBC"/>
    <w:rsid w:val="007F1B9C"/>
    <w:rsid w:val="00804D89"/>
    <w:rsid w:val="0082199E"/>
    <w:rsid w:val="00821CDD"/>
    <w:rsid w:val="00830718"/>
    <w:rsid w:val="00833FEE"/>
    <w:rsid w:val="0085509A"/>
    <w:rsid w:val="00855448"/>
    <w:rsid w:val="0088160A"/>
    <w:rsid w:val="008939BB"/>
    <w:rsid w:val="008A1C32"/>
    <w:rsid w:val="008B3623"/>
    <w:rsid w:val="008F0606"/>
    <w:rsid w:val="008F5240"/>
    <w:rsid w:val="009206B8"/>
    <w:rsid w:val="00920C4E"/>
    <w:rsid w:val="00931910"/>
    <w:rsid w:val="00943F41"/>
    <w:rsid w:val="009551F3"/>
    <w:rsid w:val="00963851"/>
    <w:rsid w:val="00965BB9"/>
    <w:rsid w:val="00971B54"/>
    <w:rsid w:val="009A405B"/>
    <w:rsid w:val="009A7F6E"/>
    <w:rsid w:val="00A02581"/>
    <w:rsid w:val="00A02C37"/>
    <w:rsid w:val="00A05E84"/>
    <w:rsid w:val="00A41779"/>
    <w:rsid w:val="00A74E30"/>
    <w:rsid w:val="00A756F9"/>
    <w:rsid w:val="00A91A12"/>
    <w:rsid w:val="00A935F8"/>
    <w:rsid w:val="00AC4F2A"/>
    <w:rsid w:val="00AC53BD"/>
    <w:rsid w:val="00AE4DC5"/>
    <w:rsid w:val="00AF245B"/>
    <w:rsid w:val="00B01F36"/>
    <w:rsid w:val="00B30F31"/>
    <w:rsid w:val="00B355A4"/>
    <w:rsid w:val="00B42C2F"/>
    <w:rsid w:val="00B43609"/>
    <w:rsid w:val="00B44F48"/>
    <w:rsid w:val="00B73A5A"/>
    <w:rsid w:val="00B85420"/>
    <w:rsid w:val="00B87E48"/>
    <w:rsid w:val="00BA3394"/>
    <w:rsid w:val="00BC22DC"/>
    <w:rsid w:val="00BD0F9D"/>
    <w:rsid w:val="00BD64FE"/>
    <w:rsid w:val="00BE0915"/>
    <w:rsid w:val="00BE16C7"/>
    <w:rsid w:val="00C03CDB"/>
    <w:rsid w:val="00C07445"/>
    <w:rsid w:val="00C1053F"/>
    <w:rsid w:val="00C113DB"/>
    <w:rsid w:val="00C14BC5"/>
    <w:rsid w:val="00C3557B"/>
    <w:rsid w:val="00C518F3"/>
    <w:rsid w:val="00C53136"/>
    <w:rsid w:val="00C631E8"/>
    <w:rsid w:val="00C71908"/>
    <w:rsid w:val="00C950A3"/>
    <w:rsid w:val="00CA01E1"/>
    <w:rsid w:val="00D02968"/>
    <w:rsid w:val="00D043BF"/>
    <w:rsid w:val="00D078A6"/>
    <w:rsid w:val="00D248E3"/>
    <w:rsid w:val="00D558C6"/>
    <w:rsid w:val="00D85802"/>
    <w:rsid w:val="00DA031A"/>
    <w:rsid w:val="00DA4E20"/>
    <w:rsid w:val="00DB51BD"/>
    <w:rsid w:val="00DD0896"/>
    <w:rsid w:val="00DD3160"/>
    <w:rsid w:val="00E02DFC"/>
    <w:rsid w:val="00E36637"/>
    <w:rsid w:val="00E43303"/>
    <w:rsid w:val="00E434FC"/>
    <w:rsid w:val="00E50520"/>
    <w:rsid w:val="00E6611F"/>
    <w:rsid w:val="00E700B1"/>
    <w:rsid w:val="00E76165"/>
    <w:rsid w:val="00EA0C5B"/>
    <w:rsid w:val="00EA21EC"/>
    <w:rsid w:val="00EB1644"/>
    <w:rsid w:val="00EC1563"/>
    <w:rsid w:val="00EE04F6"/>
    <w:rsid w:val="00EE382C"/>
    <w:rsid w:val="00EF1A96"/>
    <w:rsid w:val="00F052BE"/>
    <w:rsid w:val="00F1561C"/>
    <w:rsid w:val="00F43366"/>
    <w:rsid w:val="00F67C29"/>
    <w:rsid w:val="00F71C05"/>
    <w:rsid w:val="00F92E74"/>
    <w:rsid w:val="00F96772"/>
    <w:rsid w:val="00FA6837"/>
    <w:rsid w:val="00FD1960"/>
    <w:rsid w:val="00FF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F47F3F-461F-4046-A317-8915FD5F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78E6"/>
  </w:style>
  <w:style w:type="paragraph" w:styleId="Nadpis2">
    <w:name w:val="heading 2"/>
    <w:basedOn w:val="Normlny"/>
    <w:link w:val="Nadpis2Char"/>
    <w:uiPriority w:val="9"/>
    <w:qFormat/>
    <w:rsid w:val="00264F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B1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4C733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7DCE"/>
  </w:style>
  <w:style w:type="paragraph" w:styleId="Pta">
    <w:name w:val="footer"/>
    <w:basedOn w:val="Normlny"/>
    <w:link w:val="Pt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7DCE"/>
  </w:style>
  <w:style w:type="character" w:styleId="Zstupntext">
    <w:name w:val="Placeholder Text"/>
    <w:basedOn w:val="Predvolenpsmoodseku"/>
    <w:uiPriority w:val="99"/>
    <w:semiHidden/>
    <w:rsid w:val="00C14B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3FD1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264FD0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264FD0"/>
    <w:rPr>
      <w:color w:val="0563C1" w:themeColor="hyperlink"/>
      <w:u w:val="single"/>
    </w:rPr>
  </w:style>
  <w:style w:type="paragraph" w:styleId="Bezriadkovania">
    <w:name w:val="No Spacing"/>
    <w:link w:val="BezriadkovaniaChar"/>
    <w:uiPriority w:val="1"/>
    <w:qFormat/>
    <w:rsid w:val="0088160A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88160A"/>
    <w:rPr>
      <w:rFonts w:eastAsiaTheme="minorEastAsia"/>
      <w:lang w:eastAsia="sk-SK"/>
    </w:rPr>
  </w:style>
  <w:style w:type="character" w:customStyle="1" w:styleId="im">
    <w:name w:val="im"/>
    <w:basedOn w:val="Predvolenpsmoodseku"/>
    <w:rsid w:val="002D2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0550EF43492438FC4A4AB6AB1197D" ma:contentTypeVersion="17" ma:contentTypeDescription="Ein neues Dokument erstellen." ma:contentTypeScope="" ma:versionID="e9b54af0b46ff05e8e73409193f8f00d">
  <xsd:schema xmlns:xsd="http://www.w3.org/2001/XMLSchema" xmlns:xs="http://www.w3.org/2001/XMLSchema" xmlns:p="http://schemas.microsoft.com/office/2006/metadata/properties" xmlns:ns2="77555f33-c690-422e-ae45-7091041f8b48" xmlns:ns3="b86251ab-e7c7-4cb7-b667-c06f8abff1d6" targetNamespace="http://schemas.microsoft.com/office/2006/metadata/properties" ma:root="true" ma:fieldsID="7e91444b69b81faa9f639aded62ee476" ns2:_="" ns3:_="">
    <xsd:import namespace="77555f33-c690-422e-ae45-7091041f8b48"/>
    <xsd:import namespace="b86251ab-e7c7-4cb7-b667-c06f8abff1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55f33-c690-422e-ae45-7091041f8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e7e5b6c-b918-456f-bde5-0dbd0052dc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251ab-e7c7-4cb7-b667-c06f8abff1d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53d0bb-cb31-491c-a1a7-56f181d87990}" ma:internalName="TaxCatchAll" ma:showField="CatchAllData" ma:web="b86251ab-e7c7-4cb7-b667-c06f8abff1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555f33-c690-422e-ae45-7091041f8b48">
      <Terms xmlns="http://schemas.microsoft.com/office/infopath/2007/PartnerControls"/>
    </lcf76f155ced4ddcb4097134ff3c332f>
    <TaxCatchAll xmlns="b86251ab-e7c7-4cb7-b667-c06f8abff1d6" xsi:nil="true"/>
  </documentManagement>
</p:properties>
</file>

<file path=customXml/itemProps1.xml><?xml version="1.0" encoding="utf-8"?>
<ds:datastoreItem xmlns:ds="http://schemas.openxmlformats.org/officeDocument/2006/customXml" ds:itemID="{4D4233B0-4775-4687-8BB9-C34298F19D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E6F7DF-C7B8-4903-A21D-C63ED7A38D4B}"/>
</file>

<file path=customXml/itemProps3.xml><?xml version="1.0" encoding="utf-8"?>
<ds:datastoreItem xmlns:ds="http://schemas.openxmlformats.org/officeDocument/2006/customXml" ds:itemID="{978C34D1-3608-4A68-823B-A284E24C2091}"/>
</file>

<file path=customXml/itemProps4.xml><?xml version="1.0" encoding="utf-8"?>
<ds:datastoreItem xmlns:ds="http://schemas.openxmlformats.org/officeDocument/2006/customXml" ds:itemID="{80E55005-317E-4104-86D8-DBEE85F2FF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723</Words>
  <Characters>4125</Characters>
  <Application>Microsoft Office Word</Application>
  <DocSecurity>8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Komponenty metodického listu pre učiteľky a učiteľov</vt:lpstr>
      <vt:lpstr/>
    </vt:vector>
  </TitlesOfParts>
  <Company>Hewlett-Packard Company</Company>
  <LinksUpToDate>false</LinksUpToDate>
  <CharactersWithSpaces>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Komponenty metodického listu pre učiteľky a učiteľov</dc:title>
  <dc:creator>JM</dc:creator>
  <cp:lastModifiedBy>opd</cp:lastModifiedBy>
  <cp:revision>5</cp:revision>
  <cp:lastPrinted>2019-07-12T09:03:00Z</cp:lastPrinted>
  <dcterms:created xsi:type="dcterms:W3CDTF">2019-09-04T20:39:00Z</dcterms:created>
  <dcterms:modified xsi:type="dcterms:W3CDTF">2019-11-15T20:02:00Z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0x010100F430550EF43492438FC4A4AB6AB1197D</vt:lpwstr>
  </property>
</Properties>
</file>